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5DC3E">
      <w:pPr>
        <w:spacing w:line="360" w:lineRule="auto"/>
        <w:jc w:val="center"/>
        <w:rPr>
          <w:rFonts w:ascii="宋体" w:hAnsi="宋体"/>
          <w:sz w:val="24"/>
        </w:rPr>
      </w:pPr>
    </w:p>
    <w:p w14:paraId="781F0199">
      <w:pPr>
        <w:spacing w:line="360" w:lineRule="auto"/>
        <w:jc w:val="center"/>
        <w:rPr>
          <w:rFonts w:ascii="宋体" w:hAnsi="宋体"/>
          <w:sz w:val="24"/>
        </w:rPr>
      </w:pPr>
    </w:p>
    <w:p w14:paraId="588D4AEF">
      <w:pPr>
        <w:spacing w:line="360" w:lineRule="auto"/>
        <w:jc w:val="center"/>
        <w:rPr>
          <w:rFonts w:ascii="宋体" w:hAnsi="宋体"/>
          <w:sz w:val="24"/>
        </w:rPr>
      </w:pPr>
    </w:p>
    <w:p w14:paraId="3F809282">
      <w:pPr>
        <w:spacing w:line="360" w:lineRule="auto"/>
        <w:jc w:val="center"/>
        <w:rPr>
          <w:rFonts w:ascii="宋体" w:hAnsi="宋体"/>
          <w:sz w:val="24"/>
        </w:rPr>
      </w:pPr>
    </w:p>
    <w:p w14:paraId="42815D58">
      <w:pPr>
        <w:spacing w:line="360" w:lineRule="auto"/>
        <w:jc w:val="center"/>
        <w:rPr>
          <w:rFonts w:ascii="宋体" w:hAnsi="宋体"/>
          <w:b/>
          <w:bCs/>
          <w:sz w:val="52"/>
          <w:szCs w:val="52"/>
        </w:rPr>
      </w:pPr>
      <w:r>
        <w:rPr>
          <w:rFonts w:ascii="宋体" w:hAnsi="宋体"/>
          <w:b/>
          <w:bCs/>
          <w:sz w:val="52"/>
          <w:szCs w:val="52"/>
        </w:rPr>
        <w:t>2024</w:t>
      </w:r>
      <w:r>
        <w:rPr>
          <w:rFonts w:hint="eastAsia" w:ascii="宋体" w:hAnsi="宋体"/>
          <w:b/>
          <w:bCs/>
          <w:sz w:val="52"/>
          <w:szCs w:val="52"/>
        </w:rPr>
        <w:t>年度鄂尔多斯市科学技术协会部门</w:t>
      </w:r>
    </w:p>
    <w:p w14:paraId="77E6C3D2">
      <w:pPr>
        <w:spacing w:line="360" w:lineRule="auto"/>
        <w:jc w:val="center"/>
        <w:rPr>
          <w:rFonts w:ascii="宋体" w:hAnsi="宋体"/>
          <w:b/>
          <w:bCs/>
          <w:sz w:val="52"/>
          <w:szCs w:val="52"/>
        </w:rPr>
      </w:pPr>
      <w:r>
        <w:rPr>
          <w:rFonts w:hint="eastAsia" w:ascii="宋体" w:hAnsi="宋体"/>
          <w:b/>
          <w:bCs/>
          <w:sz w:val="52"/>
          <w:szCs w:val="52"/>
        </w:rPr>
        <w:t>公开报告</w:t>
      </w:r>
    </w:p>
    <w:p w14:paraId="6AF33ABC">
      <w:pPr>
        <w:spacing w:line="360" w:lineRule="auto"/>
        <w:jc w:val="center"/>
        <w:rPr>
          <w:rFonts w:ascii="宋体" w:hAnsi="宋体"/>
          <w:b/>
          <w:bCs/>
          <w:sz w:val="52"/>
          <w:szCs w:val="52"/>
        </w:rPr>
      </w:pPr>
    </w:p>
    <w:p w14:paraId="10212A6C">
      <w:pPr>
        <w:spacing w:line="360" w:lineRule="auto"/>
        <w:jc w:val="center"/>
        <w:rPr>
          <w:rFonts w:ascii="宋体" w:hAnsi="宋体"/>
          <w:b/>
          <w:bCs/>
          <w:sz w:val="52"/>
          <w:szCs w:val="52"/>
        </w:rPr>
      </w:pPr>
    </w:p>
    <w:p w14:paraId="636528E7">
      <w:pPr>
        <w:spacing w:line="360" w:lineRule="auto"/>
        <w:jc w:val="center"/>
        <w:rPr>
          <w:rFonts w:ascii="宋体" w:hAnsi="宋体"/>
          <w:b/>
          <w:bCs/>
          <w:sz w:val="52"/>
          <w:szCs w:val="52"/>
        </w:rPr>
      </w:pPr>
    </w:p>
    <w:p w14:paraId="3ADF248C">
      <w:pPr>
        <w:spacing w:line="360" w:lineRule="auto"/>
        <w:jc w:val="center"/>
        <w:rPr>
          <w:rFonts w:ascii="宋体" w:hAnsi="宋体"/>
          <w:b/>
          <w:bCs/>
          <w:sz w:val="52"/>
          <w:szCs w:val="52"/>
        </w:rPr>
      </w:pPr>
    </w:p>
    <w:p w14:paraId="1D89E7A7">
      <w:pPr>
        <w:spacing w:line="360" w:lineRule="auto"/>
        <w:jc w:val="center"/>
        <w:rPr>
          <w:rFonts w:ascii="宋体" w:hAnsi="宋体"/>
          <w:b/>
          <w:bCs/>
          <w:sz w:val="52"/>
          <w:szCs w:val="52"/>
        </w:rPr>
      </w:pPr>
    </w:p>
    <w:p w14:paraId="454CAC92">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14:paraId="1C9A9517">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 录</w:t>
      </w:r>
    </w:p>
    <w:p w14:paraId="20455C0D">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r>
        <w:rPr>
          <w:rFonts w:ascii="黑体" w:hAnsi="黑体" w:eastAsia="黑体" w:cs="黑体"/>
          <w:kern w:val="0"/>
          <w:sz w:val="27"/>
          <w:szCs w:val="27"/>
        </w:rPr>
        <w:t>第一部分</w:t>
      </w:r>
      <w:r>
        <w:rPr>
          <w:rFonts w:hint="eastAsia" w:ascii="黑体" w:hAnsi="黑体" w:eastAsia="黑体" w:cs="黑体"/>
          <w:kern w:val="0"/>
          <w:sz w:val="27"/>
          <w:szCs w:val="27"/>
          <w:lang w:eastAsia="zh-CN"/>
        </w:rPr>
        <w:t>部门</w:t>
      </w:r>
      <w:r>
        <w:rPr>
          <w:rFonts w:ascii="黑体" w:hAnsi="黑体" w:eastAsia="黑体" w:cs="黑体"/>
          <w:kern w:val="0"/>
          <w:sz w:val="27"/>
          <w:szCs w:val="27"/>
        </w:rPr>
        <w:t>概况</w:t>
      </w:r>
    </w:p>
    <w:p w14:paraId="1BB378E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一、主要职能、职责</w:t>
      </w:r>
    </w:p>
    <w:p w14:paraId="2E20E12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w:t>
      </w:r>
      <w:r>
        <w:rPr>
          <w:rFonts w:hint="eastAsia" w:ascii="仿宋_GB2312" w:hAnsi="仿宋_GB2312" w:eastAsia="仿宋_GB2312" w:cs="仿宋_GB2312"/>
          <w:kern w:val="0"/>
          <w:sz w:val="27"/>
          <w:szCs w:val="27"/>
          <w:lang w:eastAsia="zh-CN"/>
        </w:rPr>
        <w:t>部门</w:t>
      </w:r>
      <w:r>
        <w:rPr>
          <w:rFonts w:ascii="仿宋_GB2312" w:hAnsi="仿宋_GB2312" w:eastAsia="仿宋_GB2312" w:cs="仿宋_GB2312"/>
          <w:kern w:val="0"/>
          <w:sz w:val="27"/>
          <w:szCs w:val="27"/>
        </w:rPr>
        <w:t>机构设置及决算单位构成情况</w:t>
      </w:r>
    </w:p>
    <w:p w14:paraId="6286744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w:t>
      </w:r>
      <w:r>
        <w:rPr>
          <w:rFonts w:ascii="times_new_roman" w:hAnsi="times_new_roman" w:eastAsia="times_new_roman" w:cs="times_new_roman"/>
          <w:kern w:val="0"/>
          <w:sz w:val="27"/>
          <w:szCs w:val="27"/>
        </w:rPr>
        <w:t>2024</w:t>
      </w:r>
      <w:r>
        <w:rPr>
          <w:rFonts w:ascii="仿宋_GB2312" w:hAnsi="仿宋_GB2312" w:eastAsia="仿宋_GB2312" w:cs="仿宋_GB2312"/>
          <w:kern w:val="0"/>
          <w:sz w:val="27"/>
          <w:szCs w:val="27"/>
        </w:rPr>
        <w:t>年度</w:t>
      </w:r>
      <w:r>
        <w:rPr>
          <w:rFonts w:hint="eastAsia" w:ascii="仿宋_GB2312" w:hAnsi="仿宋_GB2312" w:eastAsia="仿宋_GB2312" w:cs="仿宋_GB2312"/>
          <w:kern w:val="0"/>
          <w:sz w:val="27"/>
          <w:szCs w:val="27"/>
          <w:lang w:eastAsia="zh-CN"/>
        </w:rPr>
        <w:t>部门</w:t>
      </w:r>
      <w:r>
        <w:rPr>
          <w:rFonts w:ascii="仿宋_GB2312" w:hAnsi="仿宋_GB2312" w:eastAsia="仿宋_GB2312" w:cs="仿宋_GB2312"/>
          <w:kern w:val="0"/>
          <w:sz w:val="27"/>
          <w:szCs w:val="27"/>
        </w:rPr>
        <w:t>主要工作完成情况</w:t>
      </w:r>
    </w:p>
    <w:p w14:paraId="3148DF57">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w:t>
      </w:r>
      <w:r>
        <w:rPr>
          <w:rFonts w:hint="eastAsia" w:ascii="黑体" w:hAnsi="黑体" w:eastAsia="黑体" w:cs="黑体"/>
          <w:kern w:val="0"/>
          <w:sz w:val="27"/>
          <w:szCs w:val="27"/>
          <w:lang w:eastAsia="zh-CN"/>
        </w:rPr>
        <w:t>部门</w:t>
      </w:r>
      <w:r>
        <w:rPr>
          <w:rFonts w:ascii="黑体" w:hAnsi="黑体" w:eastAsia="黑体" w:cs="黑体"/>
          <w:kern w:val="0"/>
          <w:sz w:val="27"/>
          <w:szCs w:val="27"/>
        </w:rPr>
        <w:t>决算情况说明</w:t>
      </w:r>
    </w:p>
    <w:p w14:paraId="3789A96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一、收入支出决算总体情况说明</w:t>
      </w:r>
    </w:p>
    <w:p w14:paraId="31B734E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二、收入决算情况说明</w:t>
      </w:r>
    </w:p>
    <w:p w14:paraId="6A019C5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三、支出决算情况说明</w:t>
      </w:r>
    </w:p>
    <w:p w14:paraId="3FA0AAD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四、财政拨款收入支出决算总体情况说明</w:t>
      </w:r>
    </w:p>
    <w:p w14:paraId="545EB21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五、一般公共预算财政拨款支出决算情况说明</w:t>
      </w:r>
    </w:p>
    <w:p w14:paraId="06DA0AF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六、一般公共预算财政拨款基本支出决算情况说明</w:t>
      </w:r>
    </w:p>
    <w:p w14:paraId="3670F26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七、一般公共预算财政拨款项目支出决算情况说明</w:t>
      </w:r>
    </w:p>
    <w:p w14:paraId="6F8D8C9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八、财政拨款“三公”经费支出决算情况说明</w:t>
      </w:r>
    </w:p>
    <w:p w14:paraId="782BF35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九、政府性基金预算财政拨款支出决算情况说明</w:t>
      </w:r>
    </w:p>
    <w:p w14:paraId="4CB25A4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十、国有资本经营预算财政拨款支出决算情况说明</w:t>
      </w:r>
    </w:p>
    <w:p w14:paraId="571AEFF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十一、机关运行经费（公用经费）支出决算情况说明</w:t>
      </w:r>
    </w:p>
    <w:p w14:paraId="0F9DB18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十二、政府采购支出决算情况说明</w:t>
      </w:r>
    </w:p>
    <w:p w14:paraId="0CD19AF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十三、国有资产占用情况说明</w:t>
      </w:r>
    </w:p>
    <w:p w14:paraId="70488C0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十四、预算绩效情况说明</w:t>
      </w:r>
    </w:p>
    <w:p w14:paraId="689FCF58">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第三部分名词解释</w:t>
      </w:r>
    </w:p>
    <w:p w14:paraId="1B60DC9E">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第四部分决算公开联系方式及信息反馈渠道</w:t>
      </w:r>
    </w:p>
    <w:p w14:paraId="7832788A">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w:t>
      </w:r>
      <w:r>
        <w:rPr>
          <w:rFonts w:hint="eastAsia" w:ascii="黑体" w:hAnsi="黑体" w:eastAsia="黑体" w:cs="黑体"/>
          <w:kern w:val="0"/>
          <w:sz w:val="27"/>
          <w:szCs w:val="27"/>
          <w:lang w:eastAsia="zh-CN"/>
        </w:rPr>
        <w:t>部门</w:t>
      </w:r>
      <w:r>
        <w:rPr>
          <w:rFonts w:ascii="黑体" w:hAnsi="黑体" w:eastAsia="黑体" w:cs="黑体"/>
          <w:kern w:val="0"/>
          <w:sz w:val="27"/>
          <w:szCs w:val="27"/>
        </w:rPr>
        <w:t>决算表</w:t>
      </w:r>
    </w:p>
    <w:p w14:paraId="64B57C4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一、收入支出决算总表</w:t>
      </w:r>
    </w:p>
    <w:p w14:paraId="3AE55D2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二、收入决算表</w:t>
      </w:r>
    </w:p>
    <w:p w14:paraId="3219D03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三、支出决算表</w:t>
      </w:r>
    </w:p>
    <w:p w14:paraId="091A1EE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四、财政拨款收入支出决算总表</w:t>
      </w:r>
    </w:p>
    <w:p w14:paraId="5A616FD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五、一般公共预算财政拨款支出决算表</w:t>
      </w:r>
    </w:p>
    <w:p w14:paraId="35C75C1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六、一般公共预算财政拨款基本支出决算明细表</w:t>
      </w:r>
    </w:p>
    <w:p w14:paraId="7B2DB1F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七、一般公共预算财政拨款项目支出决算明细表</w:t>
      </w:r>
    </w:p>
    <w:p w14:paraId="355FB73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八、政府性基金预算财政拨款收入支出决算表</w:t>
      </w:r>
    </w:p>
    <w:p w14:paraId="4945E85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九、国有资本经营预算财政拨款收入支出决算表</w:t>
      </w:r>
    </w:p>
    <w:p w14:paraId="7018F47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十、财政拨款“三公”经费支出决算表</w:t>
      </w:r>
    </w:p>
    <w:p w14:paraId="698F0D5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十一、机关运行经费支出、国有资产占用情况及政府采购支出信息表</w:t>
      </w:r>
    </w:p>
    <w:p w14:paraId="64952A08">
      <w:pPr>
        <w:widowControl/>
        <w:spacing w:before="240" w:after="240"/>
        <w:rPr>
          <w:rFonts w:ascii="Times New Roman" w:hAnsi="Times New Roman" w:eastAsia="Times New Roman" w:cs="Times New Roman"/>
          <w:kern w:val="0"/>
          <w:sz w:val="24"/>
        </w:rPr>
      </w:pPr>
    </w:p>
    <w:p w14:paraId="322C2E30">
      <w:pPr>
        <w:widowControl/>
        <w:spacing w:before="240" w:after="240"/>
        <w:rPr>
          <w:rFonts w:ascii="Times New Roman" w:hAnsi="Times New Roman" w:eastAsia="Times New Roman" w:cs="Times New Roman"/>
          <w:kern w:val="0"/>
          <w:sz w:val="24"/>
        </w:rPr>
      </w:pPr>
    </w:p>
    <w:p w14:paraId="5DF09B3F">
      <w:pPr>
        <w:widowControl/>
        <w:spacing w:before="240" w:after="240"/>
        <w:rPr>
          <w:rFonts w:ascii="Times New Roman" w:hAnsi="Times New Roman" w:eastAsia="Times New Roman" w:cs="Times New Roman"/>
          <w:kern w:val="0"/>
          <w:sz w:val="24"/>
        </w:rPr>
      </w:pPr>
    </w:p>
    <w:p w14:paraId="18DF35C7">
      <w:pPr>
        <w:widowControl/>
        <w:spacing w:before="240" w:after="240"/>
        <w:rPr>
          <w:rFonts w:ascii="Times New Roman" w:hAnsi="Times New Roman" w:eastAsia="Times New Roman" w:cs="Times New Roman"/>
          <w:kern w:val="0"/>
          <w:sz w:val="24"/>
        </w:rPr>
      </w:pPr>
    </w:p>
    <w:p w14:paraId="7FEDFB35">
      <w:pPr>
        <w:widowControl/>
        <w:spacing w:before="240" w:after="240"/>
        <w:rPr>
          <w:rFonts w:ascii="Times New Roman" w:hAnsi="Times New Roman" w:eastAsia="Times New Roman" w:cs="Times New Roman"/>
          <w:kern w:val="0"/>
          <w:sz w:val="24"/>
        </w:rPr>
      </w:pPr>
    </w:p>
    <w:p w14:paraId="457CD537">
      <w:pPr>
        <w:widowControl/>
        <w:spacing w:before="240" w:after="240"/>
        <w:rPr>
          <w:rFonts w:ascii="Times New Roman" w:hAnsi="Times New Roman" w:eastAsia="Times New Roman" w:cs="Times New Roman"/>
          <w:kern w:val="0"/>
          <w:sz w:val="24"/>
        </w:rPr>
      </w:pPr>
    </w:p>
    <w:p w14:paraId="65AF6063">
      <w:pPr>
        <w:widowControl/>
        <w:spacing w:before="240" w:after="240"/>
        <w:rPr>
          <w:rFonts w:ascii="Times New Roman" w:hAnsi="Times New Roman" w:eastAsia="Times New Roman" w:cs="Times New Roman"/>
          <w:kern w:val="0"/>
          <w:sz w:val="24"/>
        </w:rPr>
      </w:pPr>
    </w:p>
    <w:p w14:paraId="296B97BC">
      <w:pPr>
        <w:widowControl/>
        <w:spacing w:before="240" w:after="240"/>
        <w:rPr>
          <w:rFonts w:ascii="Times New Roman" w:hAnsi="Times New Roman" w:eastAsia="Times New Roman" w:cs="Times New Roman"/>
          <w:kern w:val="0"/>
          <w:sz w:val="24"/>
        </w:rPr>
      </w:pPr>
    </w:p>
    <w:p w14:paraId="58F9DB35">
      <w:pPr>
        <w:widowControl/>
        <w:spacing w:before="240" w:after="240"/>
        <w:rPr>
          <w:rFonts w:ascii="Times New Roman" w:hAnsi="Times New Roman" w:eastAsia="Times New Roman" w:cs="Times New Roman"/>
          <w:kern w:val="0"/>
          <w:sz w:val="24"/>
        </w:rPr>
      </w:pPr>
    </w:p>
    <w:p w14:paraId="3942B42D">
      <w:pPr>
        <w:widowControl/>
        <w:spacing w:before="240" w:after="240"/>
        <w:rPr>
          <w:rFonts w:ascii="Times New Roman" w:hAnsi="Times New Roman" w:eastAsia="Times New Roman" w:cs="Times New Roman"/>
          <w:kern w:val="0"/>
          <w:sz w:val="24"/>
        </w:rPr>
      </w:pPr>
    </w:p>
    <w:p w14:paraId="49053035">
      <w:pPr>
        <w:widowControl/>
        <w:spacing w:before="240" w:after="240"/>
        <w:rPr>
          <w:rFonts w:ascii="Times New Roman" w:hAnsi="Times New Roman" w:eastAsia="Times New Roman" w:cs="Times New Roman"/>
          <w:kern w:val="0"/>
          <w:sz w:val="24"/>
        </w:rPr>
      </w:pPr>
    </w:p>
    <w:p w14:paraId="0C89959D">
      <w:pPr>
        <w:widowControl/>
        <w:spacing w:before="240" w:after="240"/>
        <w:rPr>
          <w:rFonts w:ascii="Times New Roman" w:hAnsi="Times New Roman" w:eastAsia="Times New Roman" w:cs="Times New Roman"/>
          <w:kern w:val="0"/>
          <w:sz w:val="24"/>
        </w:rPr>
      </w:pPr>
    </w:p>
    <w:p w14:paraId="0AF95AD3">
      <w:pPr>
        <w:widowControl/>
        <w:spacing w:before="240" w:after="240"/>
        <w:rPr>
          <w:rFonts w:ascii="Times New Roman" w:hAnsi="Times New Roman" w:eastAsia="Times New Roman" w:cs="Times New Roman"/>
          <w:kern w:val="0"/>
          <w:sz w:val="24"/>
        </w:rPr>
      </w:pPr>
    </w:p>
    <w:p w14:paraId="6986A4C1">
      <w:pPr>
        <w:widowControl/>
        <w:spacing w:before="240" w:after="240"/>
        <w:rPr>
          <w:rFonts w:ascii="Times New Roman" w:hAnsi="Times New Roman" w:eastAsia="Times New Roman" w:cs="Times New Roman"/>
          <w:kern w:val="0"/>
          <w:sz w:val="24"/>
        </w:rPr>
      </w:pPr>
    </w:p>
    <w:p w14:paraId="407D1065">
      <w:pPr>
        <w:widowControl/>
        <w:spacing w:before="240" w:after="240"/>
        <w:rPr>
          <w:rFonts w:ascii="Times New Roman" w:hAnsi="Times New Roman" w:eastAsia="Times New Roman" w:cs="Times New Roman"/>
          <w:kern w:val="0"/>
          <w:sz w:val="24"/>
        </w:rPr>
      </w:pPr>
    </w:p>
    <w:p w14:paraId="7B16FD7B">
      <w:pPr>
        <w:widowControl/>
        <w:spacing w:before="240" w:after="240"/>
        <w:rPr>
          <w:rFonts w:ascii="Times New Roman" w:hAnsi="Times New Roman" w:eastAsia="Times New Roman" w:cs="Times New Roman"/>
          <w:kern w:val="0"/>
          <w:sz w:val="24"/>
        </w:rPr>
      </w:pPr>
    </w:p>
    <w:p w14:paraId="3149111F">
      <w:pPr>
        <w:widowControl/>
        <w:spacing w:before="240" w:after="240"/>
        <w:rPr>
          <w:rFonts w:ascii="Times New Roman" w:hAnsi="Times New Roman" w:eastAsia="Times New Roman" w:cs="Times New Roman"/>
          <w:kern w:val="0"/>
          <w:sz w:val="24"/>
        </w:rPr>
      </w:pPr>
    </w:p>
    <w:p w14:paraId="63FF2AAC">
      <w:pPr>
        <w:widowControl/>
        <w:spacing w:before="240" w:after="240"/>
        <w:rPr>
          <w:rFonts w:ascii="Times New Roman" w:hAnsi="Times New Roman" w:eastAsia="Times New Roman" w:cs="Times New Roman"/>
          <w:kern w:val="0"/>
          <w:sz w:val="24"/>
        </w:rPr>
      </w:pPr>
    </w:p>
    <w:p w14:paraId="4B5BB281">
      <w:pPr>
        <w:widowControl/>
        <w:spacing w:before="240" w:after="240"/>
        <w:rPr>
          <w:rFonts w:ascii="Times New Roman" w:hAnsi="Times New Roman" w:eastAsia="Times New Roman" w:cs="Times New Roman"/>
          <w:kern w:val="0"/>
          <w:sz w:val="24"/>
        </w:rPr>
      </w:pPr>
    </w:p>
    <w:p w14:paraId="3DBD902C">
      <w:pPr>
        <w:widowControl/>
        <w:spacing w:before="240" w:after="240"/>
        <w:rPr>
          <w:rFonts w:ascii="Times New Roman" w:hAnsi="Times New Roman" w:eastAsia="Times New Roman" w:cs="Times New Roman"/>
          <w:kern w:val="0"/>
          <w:sz w:val="24"/>
        </w:rPr>
      </w:pPr>
    </w:p>
    <w:p w14:paraId="42996B19">
      <w:pPr>
        <w:widowControl/>
        <w:spacing w:before="240" w:after="240"/>
        <w:rPr>
          <w:rFonts w:ascii="Times New Roman" w:hAnsi="Times New Roman" w:eastAsia="Times New Roman" w:cs="Times New Roman"/>
          <w:kern w:val="0"/>
          <w:sz w:val="24"/>
        </w:rPr>
      </w:pPr>
    </w:p>
    <w:p w14:paraId="55D3573C">
      <w:pPr>
        <w:widowControl/>
        <w:spacing w:before="240" w:after="240"/>
        <w:rPr>
          <w:rFonts w:ascii="Times New Roman" w:hAnsi="Times New Roman" w:eastAsia="Times New Roman" w:cs="Times New Roman"/>
          <w:kern w:val="0"/>
          <w:sz w:val="24"/>
        </w:rPr>
      </w:pPr>
    </w:p>
    <w:p w14:paraId="0BF247B6">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w:t>
      </w:r>
      <w:r>
        <w:rPr>
          <w:rFonts w:hint="eastAsia" w:ascii="fang_zheng_xiao_biao_song_ti" w:hAnsi="fang_zheng_xiao_biao_song_ti" w:eastAsia="宋体" w:cs="fang_zheng_xiao_biao_song_ti"/>
          <w:kern w:val="0"/>
          <w:sz w:val="36"/>
          <w:szCs w:val="36"/>
          <w:lang w:eastAsia="zh-CN"/>
        </w:rPr>
        <w:t>部门</w:t>
      </w:r>
      <w:r>
        <w:rPr>
          <w:rFonts w:ascii="fang_zheng_xiao_biao_song_ti" w:hAnsi="fang_zheng_xiao_biao_song_ti" w:eastAsia="fang_zheng_xiao_biao_song_ti" w:cs="fang_zheng_xiao_biao_song_ti"/>
          <w:kern w:val="0"/>
          <w:sz w:val="36"/>
          <w:szCs w:val="36"/>
        </w:rPr>
        <w:t>概况</w:t>
      </w:r>
    </w:p>
    <w:p w14:paraId="3FEE23BF">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一、主要职能、职责</w:t>
      </w:r>
    </w:p>
    <w:p w14:paraId="2144EC3C">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ascii="仿宋_GB2312" w:hAnsi="仿宋_GB2312" w:eastAsia="仿宋_GB2312" w:cs="仿宋_GB2312"/>
          <w:kern w:val="0"/>
          <w:sz w:val="27"/>
          <w:szCs w:val="27"/>
        </w:rPr>
        <w:t> </w:t>
      </w:r>
      <w:r>
        <w:rPr>
          <w:rFonts w:ascii="仿宋_GB2312" w:hAnsi="仿宋_GB2312" w:eastAsia="仿宋_GB2312" w:cs="仿宋_GB2312"/>
          <w:kern w:val="0"/>
          <w:sz w:val="27"/>
          <w:szCs w:val="27"/>
          <w:lang w:val="en-US" w:eastAsia="zh-CN"/>
        </w:rPr>
        <w:t>（一）贯彻党的科学技术相关方针政策，法律法规和</w:t>
      </w:r>
      <w:r>
        <w:rPr>
          <w:rFonts w:hint="eastAsia" w:ascii="仿宋_GB2312" w:hAnsi="仿宋_GB2312" w:eastAsia="仿宋_GB2312" w:cs="仿宋_GB2312"/>
          <w:kern w:val="0"/>
          <w:sz w:val="27"/>
          <w:szCs w:val="27"/>
          <w:lang w:val="en-US" w:eastAsia="zh-CN"/>
        </w:rPr>
        <w:t>《中国科学技术协会章程》，制定并组织实施市科协工作计划。密切联系科技工作者，反映科技工作者的意见建议诉求，维护科技工作者的合法权益。</w:t>
      </w:r>
    </w:p>
    <w:p w14:paraId="54819F0E">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（二）组织指导宣传优秀科技工作者，普及科学知识，推广先进技术，青少年科技教育工作。</w:t>
      </w:r>
    </w:p>
    <w:p w14:paraId="76A6B6F4">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（三）负责学会建设，组织开展学会与经济实体协作及学术交流活动，促进科技进步和创新。</w:t>
      </w:r>
    </w:p>
    <w:p w14:paraId="08B4513B">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（四）组织所属学会逐步有序承接科技评估、工程技术领域职业资格认定、技术标准研制、技术奖励评审推荐等。</w:t>
      </w:r>
    </w:p>
    <w:p w14:paraId="66B09027">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（五）组织指导科技工作者开展科技创新，参与科学论证和咨询服务，加快科技成果转化应用。</w:t>
      </w:r>
    </w:p>
    <w:p w14:paraId="666E0474">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（六）组织指导科技工作者参与科技战略、规划、布局、法规政策的制定咨询、政治协商、科学决策等工作，负责科技智库建设。</w:t>
      </w:r>
    </w:p>
    <w:p w14:paraId="674F8349">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（七）承担科技工作者开展继续教育和培训工作，负责发现培养优秀青年科技人才和创新团队，表彰奖励优秀科学技术工作者，举荐科学技术人才等工作。</w:t>
      </w:r>
    </w:p>
    <w:p w14:paraId="5FA115D3">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（八）依法开展境内外民间科技合作和交流，加强与国家科技组织、科技团体和科技界人士的友好往来。</w:t>
      </w:r>
    </w:p>
    <w:p w14:paraId="7E77BB90">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（九）依照章程按期召开科技协会代表大会，对所属学会（协会、研究会）进行管理，指导旗区科协的工作。</w:t>
      </w:r>
    </w:p>
    <w:p w14:paraId="6C818E10">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（十）承办市委、市政府交办的其它任务。</w:t>
      </w:r>
    </w:p>
    <w:p w14:paraId="3D8DFD7C">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二、</w:t>
      </w:r>
      <w:r>
        <w:rPr>
          <w:rFonts w:hint="eastAsia" w:ascii="黑体" w:hAnsi="黑体" w:eastAsia="黑体" w:cs="黑体"/>
          <w:b/>
          <w:bCs/>
          <w:kern w:val="0"/>
          <w:sz w:val="27"/>
          <w:szCs w:val="27"/>
          <w:lang w:eastAsia="zh-CN"/>
        </w:rPr>
        <w:t>部门</w:t>
      </w:r>
      <w:r>
        <w:rPr>
          <w:rFonts w:ascii="黑体" w:hAnsi="黑体" w:eastAsia="黑体" w:cs="黑体"/>
          <w:b/>
          <w:bCs/>
          <w:kern w:val="0"/>
          <w:sz w:val="27"/>
          <w:szCs w:val="27"/>
        </w:rPr>
        <w:t>机构设置及决算单位构成情况</w:t>
      </w:r>
    </w:p>
    <w:p w14:paraId="498125C4">
      <w:pPr>
        <w:widowControl/>
        <w:spacing w:before="240" w:after="240"/>
        <w:ind w:firstLine="540" w:firstLineChars="200"/>
        <w:jc w:val="left"/>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1.鄂尔多斯市科学技术协会部门下属单位包括：鄂尔多斯市科学技术协会本级和鄂尔多斯市科学技术馆。</w:t>
      </w:r>
    </w:p>
    <w:p w14:paraId="1063DA16">
      <w:pPr>
        <w:widowControl/>
        <w:spacing w:before="240" w:after="240"/>
        <w:ind w:firstLine="540" w:firstLineChars="200"/>
        <w:jc w:val="left"/>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2.从预算单位构成看，纳入本部门2024年部门汇总预算编制范围的预算单位共计2家，具体包括：鄂尔多斯市科学技术协会本级、鄂尔多斯市科学技术馆。详细情况见表：</w:t>
      </w:r>
    </w:p>
    <w:tbl>
      <w:tblPr>
        <w:tblStyle w:val="18"/>
        <w:tblW w:w="10433" w:type="dxa"/>
        <w:jc w:val="center"/>
        <w:tblCellSpacing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756"/>
        <w:gridCol w:w="5604"/>
        <w:gridCol w:w="4073"/>
      </w:tblGrid>
      <w:tr w14:paraId="550B7EC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tblCellSpacing w:w="15" w:type="dxa"/>
          <w:jc w:val="center"/>
        </w:trPr>
        <w:tc>
          <w:tcPr>
            <w:tcW w:w="711"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08AEF0FC">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序号</w:t>
            </w:r>
          </w:p>
        </w:tc>
        <w:tc>
          <w:tcPr>
            <w:tcW w:w="557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5F6EC76F">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单位名称</w:t>
            </w:r>
          </w:p>
        </w:tc>
        <w:tc>
          <w:tcPr>
            <w:tcW w:w="402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64974957">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单位性质</w:t>
            </w:r>
          </w:p>
        </w:tc>
      </w:tr>
      <w:tr w14:paraId="31BF963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13" w:hRule="atLeast"/>
          <w:tblCellSpacing w:w="15" w:type="dxa"/>
          <w:jc w:val="center"/>
        </w:trPr>
        <w:tc>
          <w:tcPr>
            <w:tcW w:w="711"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501F03B8">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1</w:t>
            </w:r>
          </w:p>
        </w:tc>
        <w:tc>
          <w:tcPr>
            <w:tcW w:w="557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48198BB0">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lang w:val="en-US" w:eastAsia="zh-CN"/>
              </w:rPr>
              <w:t>鄂尔多斯市科学技术协会本级</w:t>
            </w:r>
          </w:p>
        </w:tc>
        <w:tc>
          <w:tcPr>
            <w:tcW w:w="402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27BFDA0F">
            <w:pPr>
              <w:keepNext w:val="0"/>
              <w:keepLines w:val="0"/>
              <w:widowControl/>
              <w:suppressLineNumbers w:val="0"/>
              <w:jc w:val="center"/>
              <w:rPr>
                <w:rFonts w:ascii="Times New Roman" w:hAnsi="Times New Roman" w:eastAsia="Times New Roman" w:cs="Times New Roman"/>
                <w:b w:val="0"/>
                <w:bCs w:val="0"/>
                <w:i w:val="0"/>
                <w:iCs w:val="0"/>
                <w:smallCaps w:val="0"/>
                <w:color w:val="000000"/>
                <w:kern w:val="0"/>
                <w:sz w:val="24"/>
              </w:rPr>
            </w:pPr>
            <w:r>
              <w:rPr>
                <w:rFonts w:ascii="仿宋" w:hAnsi="仿宋" w:eastAsia="仿宋" w:cs="仿宋"/>
                <w:color w:val="000000"/>
                <w:kern w:val="0"/>
                <w:sz w:val="24"/>
                <w:szCs w:val="24"/>
                <w:lang w:val="en-US" w:eastAsia="zh-CN" w:bidi="ar"/>
              </w:rPr>
              <w:t>参照公务员法管理的事业</w:t>
            </w:r>
            <w:r>
              <w:rPr>
                <w:rFonts w:hint="eastAsia" w:ascii="仿宋" w:hAnsi="仿宋" w:eastAsia="仿宋" w:cs="仿宋"/>
                <w:color w:val="000000"/>
                <w:kern w:val="0"/>
                <w:sz w:val="24"/>
                <w:szCs w:val="24"/>
                <w:lang w:val="en-US" w:eastAsia="zh-CN" w:bidi="ar"/>
              </w:rPr>
              <w:t>单位</w:t>
            </w:r>
          </w:p>
        </w:tc>
      </w:tr>
      <w:tr w14:paraId="41276E7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8" w:hRule="atLeast"/>
          <w:tblCellSpacing w:w="15" w:type="dxa"/>
          <w:jc w:val="center"/>
        </w:trPr>
        <w:tc>
          <w:tcPr>
            <w:tcW w:w="711"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0B2CD6E4">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2</w:t>
            </w:r>
          </w:p>
        </w:tc>
        <w:tc>
          <w:tcPr>
            <w:tcW w:w="557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78363010">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lang w:val="en-US" w:eastAsia="zh-CN"/>
              </w:rPr>
              <w:t>鄂尔多斯科技馆（鄂尔多斯市科普网络信息中心）</w:t>
            </w:r>
          </w:p>
        </w:tc>
        <w:tc>
          <w:tcPr>
            <w:tcW w:w="4028"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1A632F90">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公益一类事业单位</w:t>
            </w:r>
          </w:p>
        </w:tc>
      </w:tr>
    </w:tbl>
    <w:p w14:paraId="205B88B6">
      <w:pPr>
        <w:widowControl/>
        <w:spacing w:before="240" w:after="240"/>
        <w:jc w:val="left"/>
        <w:rPr>
          <w:rFonts w:ascii="Times New Roman" w:hAnsi="Times New Roman" w:eastAsia="Times New Roman" w:cs="Times New Roman"/>
          <w:kern w:val="0"/>
          <w:sz w:val="24"/>
          <w:highlight w:val="none"/>
        </w:rPr>
      </w:pPr>
      <w:r>
        <w:rPr>
          <w:rFonts w:ascii="Calibri" w:hAnsi="Calibri" w:eastAsia="Calibri" w:cs="Calibri"/>
          <w:b/>
          <w:bCs/>
          <w:kern w:val="0"/>
          <w:sz w:val="27"/>
          <w:szCs w:val="27"/>
          <w:highlight w:val="none"/>
        </w:rPr>
        <w:t>  </w:t>
      </w:r>
      <w:r>
        <w:rPr>
          <w:rFonts w:ascii="黑体" w:hAnsi="黑体" w:eastAsia="黑体" w:cs="黑体"/>
          <w:b/>
          <w:bCs/>
          <w:kern w:val="0"/>
          <w:sz w:val="27"/>
          <w:szCs w:val="27"/>
          <w:highlight w:val="none"/>
        </w:rPr>
        <w:t>三、2024年度</w:t>
      </w:r>
      <w:r>
        <w:rPr>
          <w:rFonts w:hint="eastAsia" w:ascii="黑体" w:hAnsi="黑体" w:eastAsia="黑体" w:cs="黑体"/>
          <w:b/>
          <w:bCs/>
          <w:kern w:val="0"/>
          <w:sz w:val="27"/>
          <w:szCs w:val="27"/>
          <w:highlight w:val="none"/>
          <w:lang w:eastAsia="zh-CN"/>
        </w:rPr>
        <w:t>部门</w:t>
      </w:r>
      <w:r>
        <w:rPr>
          <w:rFonts w:ascii="黑体" w:hAnsi="黑体" w:eastAsia="黑体" w:cs="黑体"/>
          <w:b/>
          <w:bCs/>
          <w:kern w:val="0"/>
          <w:sz w:val="27"/>
          <w:szCs w:val="27"/>
          <w:highlight w:val="none"/>
        </w:rPr>
        <w:t>主要工作完成情况</w:t>
      </w:r>
    </w:p>
    <w:p w14:paraId="08073ACF">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 市科协认真贯彻市委、市政府各项工作部署，全面履行“四服务”职责，以铸牢中华民族共同体意识为主线，聚焦办好“两件大事”，助力“三个四”目标任务，全市科协事业呈现出高质量发展态势，获得国家级荣誉表彰11个，自治区级荣誉表彰9个。</w:t>
      </w:r>
    </w:p>
    <w:p w14:paraId="6CC49147">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一、提升政治站位，坚定理想信念</w:t>
      </w:r>
    </w:p>
    <w:p w14:paraId="62C8BD70">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持之以恒以习近平新时代中国特色社会主义思想武装头脑、指导实践、推动工作，把学习党的二十大和二十届二中、三中全会精神贯穿始终，跟进学习习近平总书记重要讲话重要批示指示精神，最大限度画好科技工作者“同心圆”。巩固拓展学习贯彻习近平新时代中国特色社会主义思想主题教育成果，扎实开展党纪学习教育，实现科协系统党员干部党性教育全覆盖。圆满完成换届工作，召开鄂尔多斯市科协第五次代表大会，297名代表参加会议，会议规模历届最大；推动4所高校、9个园区、77个苏木乡镇科协全覆盖，强化科技工作者团结引领；创新工作模式，首次成立产业培育与人才服务、生态建设与农业科技等六个专委会，开展专委会活动7场，召开科技工作者座谈会6次，团结引领科技工作者的机制更加健全完善。链接学会资源，拜访国家级学会10个，举办国家级学术交流会议3场次，自治区级7场次，市级40场次，17家市直学会开展活动108场次，5家学会主动参与科协活动。聚焦铸牢中华民族共同体意识，举办铸牢中华民族共同体意识专题讲座，开展“凝心聚力心向党 党建互融促发展”主题党日、民族政策宣讲，教育引导科协干部和广大科技工作者铭记“六句话”的事实和道理，坚决贯彻落实《关于全方位建设模范自治区的决定》。全面加强党的建设，深入推进“党建引领 科普惠民”品牌创建，建立百嘎丽“1+2+N”党建联盟，联动市、旗、苏木镇三级科协组织，开展“感党恩 听党话 跟党走”主题党日、“凝聚人才力量 共促产业发展”现场交流活动、庆祝中国共产党成立103周年系列活动。团结女科技工作者，举办了“巾帼心向党  科创‘她’力量”、“科创暖新她力量”主题活动。与高校科协、企业科协共同开展“百嘎丽”政治引领主题活动、“凝心聚力心向党 党建互融促发展”主题党日、“书香润党性 阅读悟初心”读书分享会等活动。联合市红十字会、市残联等部门举办党纪学习教育专题讲座、学习贯彻党的二十届三中全会精神培训班，构建互帮互学、共创共建的党建工作格局。抓牢意识形态和网络意识形态工作，专题研究部署工作2次，开展意识形态领域风险和舆情隐患工作研判1次，开展意识形态工作督查1次，专题学习2次。</w:t>
      </w:r>
    </w:p>
    <w:p w14:paraId="61744251">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二、服务发展大局，认真履职尽责</w:t>
      </w:r>
    </w:p>
    <w:p w14:paraId="079D124B">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一）品牌效应集成集聚。将“百嘎丽”品牌融入北疆文化建设，开展百嘎丽科普资源征集大赛，参与科普中国“千万IP创科普”并在市级主流媒体进行展播，活动受益人数超过20万人次。集成集聚“百嘎丽”各类活动1120余场次。推出“百嘎丽带你看非遗里的科普”系列原创科普作品，首期作品《百嘎丽带你看非遗里的科普——鄂尔多斯古如歌》原创科普作品荣获“典赞·科普中国”年度科普短视频，是内蒙古首次获得此荣誉，也是全国唯一地市级科协得此荣誉。第2期作品《乌审走马竞技》全网播放量超过250万次，在第二届科普内蒙古短视频大赛获得三等奖。第3期作品《鄂尔多斯奶酒酿造技艺》获得广泛关注。制作原创科普宣传视频《有限空间》《科普大集》，全网播放量超800万次。全网发布“百嘎丽”品牌同名MV、原创视频《五大人群同唱&lt;百嘎丽&gt;》。开发“百嘎丽”小程序。制作“百嘎丽”绘本，正在编写科普读物。《“百嘎丽”成长记》在人民网、新华网、学习强国等主流媒体刊登。</w:t>
      </w:r>
    </w:p>
    <w:p w14:paraId="60A57A08">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二）助力科技创新有形有效。搭建学术交流平台。举办“百嘎丽”海智学术会议及海智专家行活动，首次在园区开展学术会议。召开华北五省（市、区）老科协第十次工作交流会、市生态文明建设研究与促进会会员大会等，相关领域科技人才汇聚一堂谋发展、话未来。全力支持全市学会开展交流活动，市气象学会获批内蒙古自治区自然基金项目1项、自治区气象局科技创新项目3项，申报市级重点研发项目6项、科普项目1项，征集自立科研项目申报书24项；市生态文明建设研究会围绕土壤改造、水污染治理等方面开展课题研究，编写了《鄂尔多斯市大宗工业固体废物处置利用技术推广应用研究报告》《鄂尔多斯市矿区生态修复调查研究报告》；市护理学会、市口腔医学会分别举办2024年学术交流年会。科技助力产业发展。承办中国科协高层次人才国情考察活动，11名院士专家走进鄂尔多斯赋能高质量发展（内蒙古首次成功申请，也是全国首批承办活动的3个地级市之一）。召开院士专家赋能暖城高质量发展座谈会，精准对接技术需求，促进产业与技术深度融合。召开“科创暖新”科技工作者座谈会、“智汇暖城”科技人才建言献策座谈会，围绕新能源、新材料、生态环保等领域，为产业高质量发展建言献策。发挥联结纽带作用，促成一家国企与香港中文大学（深圳）的研究院合作，成立联合实验室及人才实训基地。发挥沟通桥梁作用，1家民营企业与院士团队，1家民营企业与3所高校、1家研究机构建立链接。创立科创暖新院士行活动，2位院士首次走入本土民营企业进行技术指导、座谈交流，为企业转型升级把脉问诊、导向建言；开展科技大咖行活动，邀请6名专家进园区、访企业。科创暖新院士行、科技大咖行两项活动被列入市政府科学家与企业家“握手”行动方案。首次举办台湾科技人才考察活动，59名台湾科技人才就低碳环保、科技创新、科学普及等领域沟通交流。科技助力乡村振兴。支持科技小院建设，截至目前获评国家级科技小院9家，当年获批数量排自治区第一，累计引进院士1人，博士后5人、博士31人、硕士43人、研究员28人，人才团队7个，写入了市委五届九次全会暨全市经济工作会议工作报告中。举办“科学为产业赋能 技术为产业振兴”活动，召开“科技赋能 产才融合 向新而行”座谈交流会、“筑巢引凤”助力乡村振兴座谈会，总结科技服务、农技创新、成果转化、人才培养等方面的好经验和好做法，为乡村振兴赋能增效。结合“情系乡村·助力振兴”活动，面向五大人群，深入社区、苏木乡镇、学校、企事业单位，开展55场次科普讲座、义诊和农牧业技术指导，同步组织科普大篷车基层行、新时代文明实践科技志愿服务等各种科普活动93场次。</w:t>
      </w:r>
    </w:p>
    <w:p w14:paraId="4437FB46">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三）开展科学普及有声有色。开展内容丰富的主题活动。鄂尔多斯市召开全民科学素质工作推进会议，举办全民科学素质工作专题研修班，开展“百嘎丽”学会助力全民科学素质提升科普活动56场次，促进《纲要》落地落实。首次举办“百嘎丽公民科学素质大会”，9个旗区设分赛，市级开展总决赛，受益55万余人次。建立市旗镇（街道）三级联动机制，开展各类活动320余场，织密科普传播“一张网”。创新“百嘎丽”科普暖城零距离活动，创立“科普大集”活动，开展科普大篷车联合行动，惠及50余万人，打通科普服务“最后一公里”。创立科普赋能院士行，3名院士首次走入高级中学，开展科普讲座，捐赠科普图书，4000余名青少年参加活动，培养科技后备人才。2024年通过全国科普日、“科普专家传播行”等特色科普活动，受益232万余人次。提升科普服务能力。争取基层科普行动计划项目资金299万元，科技馆免费开放资金303万元。开展首届“百嘎丽”科普资源征集比赛，征集作品195部，全网播放量超过20万次。首次开展“百嘎丽厚植科学文化”市直学会公益巡讲活动52场次。鄂尔多斯科技馆科普大篷车巡回科普宣讲100余次，在全区名列前茅。全年原创信息、视频240个，宣传数量位居全区科协系统前列。“百嘎丽科普开讲”优质科普资源被自治区科协云上科普APP采用62期，央视频采用发布12期，“科普中国”科普号发布223条，全年科普活动线上直播观看人数超过54万人次。加强“四支队伍”建设，举办“百嘎丽”全民科学素质研修班、科技小院培训交流活动、基层科技科普人才培训班、基层科普队伍建设培训班，不断提升科普队伍素质，科普信息员注册量达到9.4万人次，科普信息传播量71.53万次，科技志愿者注册量1.4万人，信息传播量14.29万次。夯实科普阵地。以加强科普基础设施建设为切入点，全力推进科技馆新馆建设，召开调度、评审等会议96次，经建设主体、监理公司等多方探讨研究，确认展品220多件。因地制宜打造特色科普教育基地，中国民航科普教育基地（鄂尔多斯）、鄂尔多斯市气象局、鄂尔多斯市科学技术馆等13家单位获评自治区科普教育基地，2024年为获评自治区科普教育基地单次数量最多。推动“双进”助力“双减”，探索馆校合作新模式，促成市科技馆与全市36所学校签约合作。市科技馆全年开展活动273场次。</w:t>
      </w:r>
    </w:p>
    <w:p w14:paraId="6D9BD2D0">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四）服务科技人才用心用情。在人才举荐上发力。推荐2名科技人才入围“中国青年科技奖”评选，是内蒙古首次入围。举荐1名科技人才入围第二届中国科技青年论坛，是内蒙古首次入围。推荐4名科技人才获评自治区优秀科技工作者。推荐2名党外科技工作者入选中科协科技界党外人士代表库。推荐1名科技人才参与内蒙古自治区青年科学技术创新奖评选。2名科技工作者当选为自治区科协第九届委员会常委（突破上届我市无人当选常委情况），1人作为全区2个突出贡献科技工作者代表之一当选为副主席。在宣传科技人才上发力。开设科普大咖说、科技工作者之声等栏目，制作《致敬闪闪发光的你》《追光而行 致敬科技工作者》《追寻星光》《科技工作者日寄语》等原创视频。推出“科普为民 幸福暖城”媒体走基层采访活动，打造科技工作者宣传矩阵，通过灯光秀、户外电子屏、商铺LED屏等媒介及主流媒体宣传，营造尊重人才、崇尚创新氛围。在培养青少年后备人才上发力。举办2024年鄂尔多斯中小学科技动漫嘉年华活动暨第二届“百嘎丽”青少年科学节活动，活动为期3天。创新性举办了首届“百嘎丽”青少年科技冬令营。成功举办第七届“百嘎丽”青少年科技夏令营。举办第24届全市青少年科技创新大赛。开展“科创筑梦”主题青少年科普活动77场。积极申请全国高校科学营活动，20名青少年赴复旦大学、华东师范大学学习，组织出行仪式、归营机场快闪活动。全面规划2024年“科技教育乡村行”活动，推选棋盘井第一小学、准格尔旗第四中学等10所学校获评“科技教育乡村行”活动全国首批试点学校，3个活动案例入选2023年内蒙古自治区“科技教育乡村行”典型活动案例，3名教师荣获科技教育乡村行优秀教师称号。强化科技辅导员能力建设，举办全市青少年科技辅导员能力提升培训班，选派12名优秀科技教师参加全国、全区培训研修活动，2名教师被认定为全国高级科技辅导员。推荐作品参加全区、全国青少年科技创新大赛，获自治区青少年科技创新大赛一等奖8项、二等奖12项、三等奖11项；获全国青少年科技创新大赛三等奖1项，是近五年此项目获得的唯一国家级奖项。组织280支队伍、560名学生参加全国青年科普创新实验暨作品大赛，4支队伍进入自治区复赛，获得1项创意作品二等奖，科普实验项目“未来太空车”1支队伍获二等奖，2支队伍获三等奖。积极参加2024年内蒙古自治区青少年科学调查体验活动，市科协荣获优秀基层组织单位称号。</w:t>
      </w:r>
    </w:p>
    <w:p w14:paraId="36936B38">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五）加强科协机关自身建设。严格落实“一报告两评议”制度，认真贯彻党的干部路线和干部政策，深入学习干部选拔任用工作条例等规章制度，完善干部选拔任用工作机制，加强优秀年轻干部培养教育，对科协干部人事档案全面再审核，及时向市委报告干部选任情况。坚持党组抓推进法治建设工作，切实履行重要组织者、推动者、实践者职责，做到把法治建设与业务工作同部署、同推进、同督促。同时，抓实安全生产、档案管理等工作，抓严账务工作，保障机关工作规范高效。</w:t>
      </w:r>
    </w:p>
    <w:p w14:paraId="3AABEDB1">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三、严守纪律作风，淬炼道德修养</w:t>
      </w:r>
    </w:p>
    <w:p w14:paraId="4C2EFB19">
      <w:pPr>
        <w:keepNext w:val="0"/>
        <w:keepLines w:val="0"/>
        <w:pageBreakBefore w:val="0"/>
        <w:widowControl/>
        <w:kinsoku/>
        <w:wordWrap/>
        <w:overflowPunct/>
        <w:topLinePunct w:val="0"/>
        <w:autoSpaceDE/>
        <w:autoSpaceDN/>
        <w:bidi w:val="0"/>
        <w:adjustRightInd/>
        <w:snapToGrid/>
        <w:spacing w:before="240" w:after="240"/>
        <w:ind w:firstLine="540" w:firstLineChars="200"/>
        <w:jc w:val="left"/>
        <w:textAlignment w:val="auto"/>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始终把纪律规矩挺在前面，不断加大工作力度，强化工作措施，进一步增强勤政廉政、拒腐防变能力建设。一是传导压力，筑牢“防线”。从严落实全面治党主体责任，按照“一岗双责”要求，既紧盯关键少数、关键岗位，持续整治“四风”问题，加强对重点领域、关键环节和重要时间节点的监督检查，有效防范廉政风险。二是警示教育，正风肃纪。充分利用各种载体，经常性地开展党员干部廉政警示教育，学习党风廉政有关法律法规，有效提升党员干部的廉政意识。使广大干部接受教育，提高认识，不断增强严守纪律、自警自省、防微杜渐的能力，筑牢拒腐防变的思想堤坝。三是动态管理，加强监管。始终坚持把严明政治纪律放在首位，认真贯彻执行中央八项规定，在各个节假日关键节点及时做好廉洁提醒等。坚持民主集中制，严格执行人事、财务等各项制度，推进党风廉政建设，主动接受派驻纪检监察组监督。</w:t>
      </w:r>
    </w:p>
    <w:p w14:paraId="1C56BBAC">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w:t>
      </w:r>
      <w:r>
        <w:rPr>
          <w:rFonts w:hint="eastAsia" w:ascii="fang_zheng_xiao_biao_song_ti" w:hAnsi="fang_zheng_xiao_biao_song_ti" w:eastAsia="宋体" w:cs="fang_zheng_xiao_biao_song_ti"/>
          <w:kern w:val="0"/>
          <w:sz w:val="36"/>
          <w:szCs w:val="36"/>
          <w:lang w:eastAsia="zh-CN"/>
        </w:rPr>
        <w:t>部门</w:t>
      </w:r>
      <w:r>
        <w:rPr>
          <w:rFonts w:ascii="fang_zheng_xiao_biao_song_ti" w:hAnsi="fang_zheng_xiao_biao_song_ti" w:eastAsia="fang_zheng_xiao_biao_song_ti" w:cs="fang_zheng_xiao_biao_song_ti"/>
          <w:kern w:val="0"/>
          <w:sz w:val="36"/>
          <w:szCs w:val="36"/>
        </w:rPr>
        <w:t>决算情况说明</w:t>
      </w:r>
    </w:p>
    <w:p w14:paraId="1BCDCF60">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一、收入支出决算总体情况说明</w:t>
      </w:r>
    </w:p>
    <w:p w14:paraId="5C32BE9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鄂尔多斯市科学技术协会部门2024年度收入、支出决算总计均为</w:t>
      </w:r>
      <w:r>
        <w:rPr>
          <w:rFonts w:ascii="times_new_roman" w:hAnsi="times_new_roman" w:eastAsia="times_new_roman" w:cs="times_new_roman"/>
          <w:color w:val="000000"/>
          <w:kern w:val="0"/>
          <w:sz w:val="27"/>
          <w:szCs w:val="27"/>
          <w:u w:val="single" w:color="000000"/>
        </w:rPr>
        <w:t>1646.64</w:t>
      </w:r>
      <w:r>
        <w:rPr>
          <w:rFonts w:ascii="仿宋_GB2312" w:hAnsi="仿宋_GB2312" w:eastAsia="仿宋_GB2312" w:cs="仿宋_GB2312"/>
          <w:color w:val="000000"/>
          <w:kern w:val="0"/>
          <w:sz w:val="27"/>
          <w:szCs w:val="27"/>
        </w:rPr>
        <w:t>万元。与年初预算相比，收、支总计各减少</w:t>
      </w:r>
      <w:r>
        <w:rPr>
          <w:rFonts w:ascii="times_new_roman" w:hAnsi="times_new_roman" w:eastAsia="times_new_roman" w:cs="times_new_roman"/>
          <w:color w:val="000000"/>
          <w:kern w:val="0"/>
          <w:sz w:val="27"/>
          <w:szCs w:val="27"/>
          <w:u w:val="single" w:color="000000"/>
        </w:rPr>
        <w:t>86.49</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19.01</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2024年按实际业务支出，主要为项目减少产生</w:t>
      </w:r>
      <w:r>
        <w:rPr>
          <w:rFonts w:ascii="仿宋_GB2312" w:hAnsi="仿宋_GB2312" w:eastAsia="仿宋_GB2312" w:cs="仿宋_GB2312"/>
          <w:color w:val="000000"/>
          <w:kern w:val="0"/>
          <w:sz w:val="27"/>
          <w:szCs w:val="27"/>
        </w:rPr>
        <w:t>；与上年决算相比，收、支总计各减少</w:t>
      </w:r>
      <w:r>
        <w:rPr>
          <w:rFonts w:ascii="times_new_roman" w:hAnsi="times_new_roman" w:eastAsia="times_new_roman" w:cs="times_new_roman"/>
          <w:color w:val="000000"/>
          <w:kern w:val="0"/>
          <w:sz w:val="27"/>
          <w:szCs w:val="27"/>
          <w:u w:val="single" w:color="000000"/>
        </w:rPr>
        <w:t>167.5</w:t>
      </w:r>
      <w:r>
        <w:rPr>
          <w:rFonts w:eastAsia="Times New Roman"/>
          <w:color w:val="000000"/>
          <w:kern w:val="0"/>
          <w:sz w:val="27"/>
          <w:szCs w:val="27"/>
          <w:u w:val="single" w:color="000000"/>
        </w:rPr>
        <w:t>2</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9.23</w:t>
      </w:r>
      <w:r>
        <w:rPr>
          <w:rFonts w:ascii="仿宋_GB2312" w:hAnsi="仿宋_GB2312" w:eastAsia="仿宋_GB2312" w:cs="仿宋_GB2312"/>
          <w:color w:val="000000"/>
          <w:kern w:val="0"/>
          <w:sz w:val="27"/>
          <w:szCs w:val="27"/>
        </w:rPr>
        <w:t>%。其中：</w:t>
      </w:r>
    </w:p>
    <w:p w14:paraId="18D88421">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（一）收入决算总计</w:t>
      </w:r>
      <w:r>
        <w:rPr>
          <w:rFonts w:ascii="times_new_roman" w:hAnsi="times_new_roman" w:eastAsia="times_new_roman" w:cs="times_new_roman"/>
          <w:b/>
          <w:bCs/>
          <w:color w:val="000000"/>
          <w:kern w:val="0"/>
          <w:sz w:val="27"/>
          <w:szCs w:val="27"/>
          <w:u w:val="single" w:color="000000"/>
        </w:rPr>
        <w:t> 1646.64</w:t>
      </w:r>
      <w:r>
        <w:rPr>
          <w:rFonts w:ascii="kai_ti_gb2312" w:hAnsi="kai_ti_gb2312" w:eastAsia="kai_ti_gb2312" w:cs="kai_ti_gb2312"/>
          <w:b/>
          <w:bCs/>
          <w:color w:val="000000"/>
          <w:kern w:val="0"/>
          <w:sz w:val="27"/>
          <w:szCs w:val="27"/>
        </w:rPr>
        <w:t>万元。包括：</w:t>
      </w:r>
      <w:bookmarkStart w:id="1" w:name="_GoBack"/>
      <w:bookmarkEnd w:id="1"/>
    </w:p>
    <w:p w14:paraId="70DD01E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1.本年收入决算合计</w:t>
      </w:r>
      <w:r>
        <w:rPr>
          <w:rFonts w:ascii="times_new_roman" w:hAnsi="times_new_roman" w:eastAsia="times_new_roman" w:cs="times_new_roman"/>
          <w:color w:val="000000"/>
          <w:kern w:val="0"/>
          <w:sz w:val="27"/>
          <w:szCs w:val="27"/>
          <w:u w:val="single" w:color="000000"/>
        </w:rPr>
        <w:t> 1640.53</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 168.90</w:t>
      </w:r>
      <w:r>
        <w:rPr>
          <w:rFonts w:ascii="仿宋_GB2312" w:hAnsi="仿宋_GB2312" w:eastAsia="仿宋_GB2312" w:cs="仿宋_GB2312"/>
          <w:color w:val="000000"/>
          <w:kern w:val="0"/>
          <w:sz w:val="27"/>
          <w:szCs w:val="27"/>
        </w:rPr>
        <w:t>万元，下降</w:t>
      </w:r>
      <w:r>
        <w:rPr>
          <w:rFonts w:ascii="仿宋_GB2312" w:hAnsi="仿宋_GB2312" w:eastAsia="仿宋_GB2312" w:cs="仿宋_GB2312"/>
          <w:color w:val="000000"/>
          <w:kern w:val="0"/>
          <w:sz w:val="27"/>
          <w:szCs w:val="27"/>
          <w:u w:val="single" w:color="000000"/>
        </w:rPr>
        <w:t> </w:t>
      </w:r>
      <w:r>
        <w:rPr>
          <w:rFonts w:hint="eastAsia" w:ascii="times_new_roman" w:hAnsi="times_new_roman" w:cs="times_new_roman"/>
          <w:color w:val="000000"/>
          <w:kern w:val="0"/>
          <w:sz w:val="27"/>
          <w:szCs w:val="27"/>
          <w:u w:val="single" w:color="000000"/>
          <w:lang w:val="en-US" w:eastAsia="zh-CN"/>
        </w:rPr>
        <w:t>9</w:t>
      </w:r>
      <w:r>
        <w:rPr>
          <w:rFonts w:ascii="times_new_roman" w:hAnsi="times_new_roman" w:eastAsia="times_new_roman" w:cs="times_new_roman"/>
          <w:color w:val="000000"/>
          <w:kern w:val="0"/>
          <w:sz w:val="27"/>
          <w:szCs w:val="27"/>
          <w:u w:val="single" w:color="000000"/>
        </w:rPr>
        <w:t>.33</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本年度项目较上年度减少</w:t>
      </w:r>
      <w:r>
        <w:rPr>
          <w:rFonts w:ascii="仿宋_GB2312" w:hAnsi="仿宋_GB2312" w:eastAsia="仿宋_GB2312" w:cs="仿宋_GB2312"/>
          <w:color w:val="000000"/>
          <w:kern w:val="0"/>
          <w:sz w:val="27"/>
          <w:szCs w:val="27"/>
        </w:rPr>
        <w:t>。</w:t>
      </w:r>
    </w:p>
    <w:p w14:paraId="55F518C3">
      <w:pPr>
        <w:widowControl/>
        <w:spacing w:before="240" w:after="240"/>
        <w:ind w:firstLine="540" w:firstLineChars="20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2.使用非财政拨款结余（含专用结余）</w:t>
      </w:r>
      <w:r>
        <w:rPr>
          <w:rFonts w:ascii="times_new_roman" w:hAnsi="times_new_roman" w:eastAsia="times_new_roman" w:cs="times_new_roman"/>
          <w:color w:val="000000"/>
          <w:kern w:val="0"/>
          <w:sz w:val="27"/>
          <w:szCs w:val="27"/>
          <w:u w:val="single" w:color="000000"/>
        </w:rPr>
        <w:t>0.03</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1.80</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98.59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本年度未使用之前年度产出的非财政拨款结余</w:t>
      </w:r>
      <w:r>
        <w:rPr>
          <w:rFonts w:ascii="仿宋_GB2312" w:hAnsi="仿宋_GB2312" w:eastAsia="仿宋_GB2312" w:cs="仿宋_GB2312"/>
          <w:color w:val="000000"/>
          <w:kern w:val="0"/>
          <w:sz w:val="27"/>
          <w:szCs w:val="27"/>
        </w:rPr>
        <w:t>。</w:t>
      </w:r>
    </w:p>
    <w:p w14:paraId="17C0F739">
      <w:pPr>
        <w:widowControl/>
        <w:spacing w:before="240" w:after="240"/>
        <w:rPr>
          <w:rFonts w:ascii="Times New Roman" w:hAnsi="Times New Roman" w:eastAsia="Times New Roman" w:cs="Times New Roman"/>
          <w:kern w:val="0"/>
          <w:sz w:val="24"/>
          <w:highlight w:val="none"/>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highlight w:val="none"/>
        </w:rPr>
        <w:t> 3.年初结转和结余</w:t>
      </w:r>
      <w:r>
        <w:rPr>
          <w:rFonts w:ascii="仿宋_GB2312" w:hAnsi="仿宋_GB2312" w:eastAsia="仿宋_GB2312" w:cs="仿宋_GB2312"/>
          <w:color w:val="000000"/>
          <w:kern w:val="0"/>
          <w:sz w:val="27"/>
          <w:szCs w:val="27"/>
          <w:highlight w:val="none"/>
          <w:u w:val="single" w:color="000000"/>
        </w:rPr>
        <w:t> </w:t>
      </w:r>
      <w:r>
        <w:rPr>
          <w:rFonts w:ascii="times_new_roman" w:hAnsi="times_new_roman" w:eastAsia="times_new_roman" w:cs="times_new_roman"/>
          <w:color w:val="000000"/>
          <w:kern w:val="0"/>
          <w:sz w:val="27"/>
          <w:szCs w:val="27"/>
          <w:highlight w:val="none"/>
          <w:u w:val="single" w:color="000000"/>
        </w:rPr>
        <w:t>6.08</w:t>
      </w:r>
      <w:r>
        <w:rPr>
          <w:rFonts w:ascii="仿宋_GB2312" w:hAnsi="仿宋_GB2312" w:eastAsia="仿宋_GB2312" w:cs="仿宋_GB2312"/>
          <w:color w:val="000000"/>
          <w:kern w:val="0"/>
          <w:sz w:val="27"/>
          <w:szCs w:val="27"/>
          <w:highlight w:val="none"/>
        </w:rPr>
        <w:t>万元。与上年决算相比，增加</w:t>
      </w:r>
      <w:r>
        <w:rPr>
          <w:rFonts w:ascii="times_new_roman" w:hAnsi="times_new_roman" w:eastAsia="times_new_roman" w:cs="times_new_roman"/>
          <w:color w:val="000000"/>
          <w:kern w:val="0"/>
          <w:sz w:val="27"/>
          <w:szCs w:val="27"/>
          <w:highlight w:val="none"/>
          <w:u w:val="single" w:color="000000"/>
        </w:rPr>
        <w:t> 3.17</w:t>
      </w:r>
      <w:r>
        <w:rPr>
          <w:rFonts w:ascii="仿宋_GB2312" w:hAnsi="仿宋_GB2312" w:eastAsia="仿宋_GB2312" w:cs="仿宋_GB2312"/>
          <w:color w:val="000000"/>
          <w:kern w:val="0"/>
          <w:sz w:val="27"/>
          <w:szCs w:val="27"/>
          <w:highlight w:val="none"/>
        </w:rPr>
        <w:t>万元，增长</w:t>
      </w:r>
      <w:r>
        <w:rPr>
          <w:rFonts w:ascii="times_new_roman" w:hAnsi="times_new_roman" w:eastAsia="times_new_roman" w:cs="times_new_roman"/>
          <w:color w:val="000000"/>
          <w:kern w:val="0"/>
          <w:sz w:val="27"/>
          <w:szCs w:val="27"/>
          <w:highlight w:val="none"/>
          <w:u w:val="single" w:color="000000"/>
        </w:rPr>
        <w:t> 109.09</w:t>
      </w:r>
      <w:r>
        <w:rPr>
          <w:rFonts w:ascii="仿宋_GB2312" w:hAnsi="仿宋_GB2312" w:eastAsia="仿宋_GB2312" w:cs="仿宋_GB2312"/>
          <w:color w:val="000000"/>
          <w:kern w:val="0"/>
          <w:sz w:val="27"/>
          <w:szCs w:val="27"/>
          <w:highlight w:val="none"/>
        </w:rPr>
        <w:t>%，变动原因：</w:t>
      </w:r>
      <w:r>
        <w:rPr>
          <w:rFonts w:hint="eastAsia" w:ascii="仿宋_GB2312" w:hAnsi="仿宋_GB2312" w:eastAsia="仿宋_GB2312" w:cs="仿宋_GB2312"/>
          <w:color w:val="000000"/>
          <w:kern w:val="0"/>
          <w:sz w:val="27"/>
          <w:szCs w:val="27"/>
          <w:highlight w:val="none"/>
          <w:lang w:val="en-US" w:eastAsia="zh-CN"/>
        </w:rPr>
        <w:t>本年度有项目未支付产生</w:t>
      </w:r>
      <w:r>
        <w:rPr>
          <w:rFonts w:ascii="仿宋_GB2312" w:hAnsi="仿宋_GB2312" w:eastAsia="仿宋_GB2312" w:cs="仿宋_GB2312"/>
          <w:color w:val="000000"/>
          <w:kern w:val="0"/>
          <w:sz w:val="27"/>
          <w:szCs w:val="27"/>
          <w:highlight w:val="none"/>
        </w:rPr>
        <w:t>。</w:t>
      </w:r>
    </w:p>
    <w:p w14:paraId="77032FEB">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_new_roman" w:hAnsi="times_new_roman" w:eastAsia="times_new_roman" w:cs="times_new_roman"/>
          <w:b/>
          <w:bCs/>
          <w:color w:val="000000"/>
          <w:kern w:val="0"/>
          <w:sz w:val="27"/>
          <w:szCs w:val="27"/>
          <w:u w:val="single" w:color="000000"/>
        </w:rPr>
        <w:t> 1646.64</w:t>
      </w:r>
      <w:r>
        <w:rPr>
          <w:rFonts w:ascii="kai_ti_gb2312" w:hAnsi="kai_ti_gb2312" w:eastAsia="kai_ti_gb2312" w:cs="kai_ti_gb2312"/>
          <w:b/>
          <w:bCs/>
          <w:color w:val="000000"/>
          <w:kern w:val="0"/>
          <w:sz w:val="27"/>
          <w:szCs w:val="27"/>
        </w:rPr>
        <w:t>万元。包括：</w:t>
      </w:r>
    </w:p>
    <w:p w14:paraId="752832B7">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1.本年支出决算合计</w:t>
      </w:r>
      <w:r>
        <w:rPr>
          <w:rFonts w:ascii="times_new_roman" w:hAnsi="times_new_roman" w:eastAsia="times_new_roman" w:cs="times_new_roman"/>
          <w:color w:val="000000"/>
          <w:kern w:val="0"/>
          <w:sz w:val="27"/>
          <w:szCs w:val="27"/>
          <w:u w:val="single" w:color="000000"/>
        </w:rPr>
        <w:t> 1646.60</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 161.52</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8.93</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本年度按实际支出较上年度项目减少产生</w:t>
      </w:r>
      <w:r>
        <w:rPr>
          <w:rFonts w:ascii="仿宋_GB2312" w:hAnsi="仿宋_GB2312" w:eastAsia="仿宋_GB2312" w:cs="仿宋_GB2312"/>
          <w:color w:val="000000"/>
          <w:kern w:val="0"/>
          <w:sz w:val="27"/>
          <w:szCs w:val="27"/>
        </w:rPr>
        <w:t>。</w:t>
      </w:r>
    </w:p>
    <w:p w14:paraId="70F1E36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2.结余分配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万元。结余分配事项：</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。与上年决算相比，增加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w:t>
      </w:r>
    </w:p>
    <w:p w14:paraId="6790700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3.年末结转和结余</w:t>
      </w:r>
      <w:r>
        <w:rPr>
          <w:rFonts w:ascii="times_new_roman" w:hAnsi="times_new_roman" w:eastAsia="times_new_roman" w:cs="times_new_roman"/>
          <w:color w:val="000000"/>
          <w:kern w:val="0"/>
          <w:sz w:val="27"/>
          <w:szCs w:val="27"/>
          <w:u w:val="single" w:color="000000"/>
        </w:rPr>
        <w:t> 0.04</w:t>
      </w:r>
      <w:r>
        <w:rPr>
          <w:rFonts w:ascii="仿宋_GB2312" w:hAnsi="仿宋_GB2312" w:eastAsia="仿宋_GB2312" w:cs="仿宋_GB2312"/>
          <w:color w:val="000000"/>
          <w:kern w:val="0"/>
          <w:sz w:val="27"/>
          <w:szCs w:val="27"/>
        </w:rPr>
        <w:t>万元。结转和结余事项：</w:t>
      </w:r>
      <w:r>
        <w:rPr>
          <w:rFonts w:hint="eastAsia" w:ascii="仿宋_GB2312" w:hAnsi="仿宋_GB2312" w:eastAsia="仿宋_GB2312" w:cs="仿宋_GB2312"/>
          <w:color w:val="000000"/>
          <w:kern w:val="0"/>
          <w:sz w:val="27"/>
          <w:szCs w:val="27"/>
          <w:lang w:val="en-US" w:eastAsia="zh-CN"/>
        </w:rPr>
        <w:t>上年度产生的利息等</w:t>
      </w:r>
      <w:r>
        <w:rPr>
          <w:rFonts w:ascii="仿宋_GB2312" w:hAnsi="仿宋_GB2312" w:eastAsia="仿宋_GB2312" w:cs="仿宋_GB2312"/>
          <w:color w:val="000000"/>
          <w:kern w:val="0"/>
          <w:sz w:val="27"/>
          <w:szCs w:val="27"/>
        </w:rPr>
        <w:t>。与上年决算相比，减少</w:t>
      </w:r>
      <w:r>
        <w:rPr>
          <w:rFonts w:ascii="times_new_roman" w:hAnsi="times_new_roman" w:eastAsia="times_new_roman" w:cs="times_new_roman"/>
          <w:color w:val="000000"/>
          <w:kern w:val="0"/>
          <w:sz w:val="27"/>
          <w:szCs w:val="27"/>
          <w:u w:val="single" w:color="000000"/>
        </w:rPr>
        <w:t> 6.00</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 99.28</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本年度支付上年度非财政拨款资金产生</w:t>
      </w:r>
      <w:r>
        <w:rPr>
          <w:rFonts w:ascii="仿宋_GB2312" w:hAnsi="仿宋_GB2312" w:eastAsia="仿宋_GB2312" w:cs="仿宋_GB2312"/>
          <w:color w:val="000000"/>
          <w:kern w:val="0"/>
          <w:sz w:val="27"/>
          <w:szCs w:val="27"/>
        </w:rPr>
        <w:t>。</w:t>
      </w:r>
    </w:p>
    <w:p w14:paraId="4F08BBB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二、收入决算情况说明</w:t>
      </w:r>
    </w:p>
    <w:p w14:paraId="0A829A0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年度本年收入决算合计</w:t>
      </w:r>
      <w:r>
        <w:rPr>
          <w:rFonts w:ascii="times_new_roman" w:hAnsi="times_new_roman" w:eastAsia="times_new_roman" w:cs="times_new_roman"/>
          <w:color w:val="000000"/>
          <w:kern w:val="0"/>
          <w:sz w:val="27"/>
          <w:szCs w:val="27"/>
          <w:u w:val="single" w:color="000000"/>
        </w:rPr>
        <w:t> 1640.53</w:t>
      </w:r>
      <w:r>
        <w:rPr>
          <w:rFonts w:ascii="仿宋_GB2312" w:hAnsi="仿宋_GB2312" w:eastAsia="仿宋_GB2312" w:cs="仿宋_GB2312"/>
          <w:color w:val="000000"/>
          <w:kern w:val="0"/>
          <w:sz w:val="27"/>
          <w:szCs w:val="27"/>
        </w:rPr>
        <w:t>万元，其中：</w:t>
      </w:r>
    </w:p>
    <w:p w14:paraId="29BA38E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本年一般公共预算财政拨款收入</w:t>
      </w:r>
      <w:r>
        <w:rPr>
          <w:rFonts w:ascii="times_new_roman" w:hAnsi="times_new_roman" w:eastAsia="times_new_roman" w:cs="times_new_roman"/>
          <w:color w:val="000000"/>
          <w:kern w:val="0"/>
          <w:sz w:val="27"/>
          <w:szCs w:val="27"/>
          <w:u w:val="single" w:color="000000"/>
        </w:rPr>
        <w:t> 1600.52</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97.56</w:t>
      </w:r>
      <w:r>
        <w:rPr>
          <w:rFonts w:ascii="仿宋_GB2312" w:hAnsi="仿宋_GB2312" w:eastAsia="仿宋_GB2312" w:cs="仿宋_GB2312"/>
          <w:color w:val="000000"/>
          <w:kern w:val="0"/>
          <w:sz w:val="27"/>
          <w:szCs w:val="27"/>
        </w:rPr>
        <w:t>%；</w:t>
      </w:r>
    </w:p>
    <w:p w14:paraId="02D1A77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本年政府性基金预算财政拨款收入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4AE6FE5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本年国有资本经营预算财政拨款收入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4FC99B9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本年上级补助收入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1AA2EC4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本年事业收入</w:t>
      </w:r>
      <w:r>
        <w:rPr>
          <w:rFonts w:ascii="times_new_roman" w:hAnsi="times_new_roman" w:eastAsia="times_new_roman" w:cs="times_new_roman"/>
          <w:color w:val="000000"/>
          <w:kern w:val="0"/>
          <w:sz w:val="27"/>
          <w:szCs w:val="27"/>
          <w:u w:val="single" w:color="000000"/>
        </w:rPr>
        <w:t> 40.00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2.44</w:t>
      </w:r>
      <w:r>
        <w:rPr>
          <w:rFonts w:ascii="仿宋_GB2312" w:hAnsi="仿宋_GB2312" w:eastAsia="仿宋_GB2312" w:cs="仿宋_GB2312"/>
          <w:color w:val="000000"/>
          <w:kern w:val="0"/>
          <w:sz w:val="27"/>
          <w:szCs w:val="27"/>
        </w:rPr>
        <w:t>%；</w:t>
      </w:r>
    </w:p>
    <w:p w14:paraId="094353D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09141F9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本年附属单位上缴收入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777F8BA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本年其他收入</w:t>
      </w:r>
      <w:r>
        <w:rPr>
          <w:rFonts w:ascii="times_new_roman" w:hAnsi="times_new_roman" w:eastAsia="times_new_roman" w:cs="times_new_roman"/>
          <w:color w:val="000000"/>
          <w:kern w:val="0"/>
          <w:sz w:val="27"/>
          <w:szCs w:val="27"/>
          <w:u w:val="single" w:color="000000"/>
        </w:rPr>
        <w:t> 0.02</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68DA845B">
      <w:pPr>
        <w:widowControl/>
        <w:spacing w:before="240" w:after="240"/>
        <w:rPr>
          <w:rFonts w:ascii="Times New Roman" w:hAnsi="Times New Roman" w:eastAsia="Times New Roman" w:cs="Times New Roman"/>
          <w:kern w:val="0"/>
          <w:sz w:val="24"/>
        </w:rPr>
      </w:pPr>
    </w:p>
    <w:p w14:paraId="7E4A00E1">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5" o:spt="75" type="#_x0000_t75" style="height:250.3pt;width:400.4pt;" filled="f" o:preferrelative="t" stroked="f" coordsize="21600,21600">
            <v:path/>
            <v:fill on="f" focussize="0,0"/>
            <v:stroke on="f"/>
            <v:imagedata r:id="rId6" o:title=""/>
            <o:lock v:ext="edit" aspectratio="t"/>
            <w10:wrap type="none"/>
            <w10:anchorlock/>
          </v:shape>
        </w:pict>
      </w:r>
      <w:r>
        <w:rPr>
          <w:rFonts w:ascii="Times New Roman" w:hAnsi="Times New Roman" w:eastAsia="Times New Roman" w:cs="Times New Roman"/>
          <w:kern w:val="0"/>
          <w:sz w:val="24"/>
        </w:rPr>
        <w:t> </w:t>
      </w:r>
    </w:p>
    <w:p w14:paraId="48CB8F98">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w:t>
      </w:r>
      <w:r>
        <w:rPr>
          <w:rFonts w:ascii="times_new_roman" w:hAnsi="times_new_roman" w:eastAsia="times_new_roman" w:cs="times_new_roman"/>
          <w:kern w:val="0"/>
          <w:sz w:val="27"/>
          <w:szCs w:val="27"/>
        </w:rPr>
        <w:t>1</w:t>
      </w:r>
      <w:r>
        <w:rPr>
          <w:rFonts w:ascii="仿宋_GB2312" w:hAnsi="仿宋_GB2312" w:eastAsia="仿宋_GB2312" w:cs="仿宋_GB2312"/>
          <w:kern w:val="0"/>
          <w:sz w:val="27"/>
          <w:szCs w:val="27"/>
        </w:rPr>
        <w:t>.收入决算图</w:t>
      </w:r>
    </w:p>
    <w:p w14:paraId="05560AD3">
      <w:pPr>
        <w:widowControl/>
        <w:numPr>
          <w:ilvl w:val="0"/>
          <w:numId w:val="1"/>
        </w:numPr>
        <w:spacing w:before="240" w:after="240"/>
        <w:ind w:left="122" w:leftChars="0" w:firstLine="0" w:firstLineChars="0"/>
        <w:jc w:val="left"/>
        <w:rPr>
          <w:rFonts w:ascii="黑体" w:hAnsi="黑体" w:eastAsia="黑体" w:cs="黑体"/>
          <w:b/>
          <w:bCs/>
          <w:kern w:val="0"/>
          <w:sz w:val="27"/>
          <w:szCs w:val="27"/>
        </w:rPr>
      </w:pPr>
      <w:r>
        <w:rPr>
          <w:rFonts w:ascii="黑体" w:hAnsi="黑体" w:eastAsia="黑体" w:cs="黑体"/>
          <w:b/>
          <w:bCs/>
          <w:kern w:val="0"/>
          <w:sz w:val="27"/>
          <w:szCs w:val="27"/>
        </w:rPr>
        <w:t>支出决算情况说明</w:t>
      </w:r>
    </w:p>
    <w:p w14:paraId="729420DB">
      <w:pPr>
        <w:widowControl/>
        <w:numPr>
          <w:numId w:val="0"/>
        </w:numPr>
        <w:spacing w:before="240" w:after="240"/>
        <w:ind w:left="122" w:leftChars="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鄂尔多斯市科学技术协会部门2024年度本年支出决算合计</w:t>
      </w:r>
      <w:r>
        <w:rPr>
          <w:rFonts w:ascii="times_new_roman" w:hAnsi="times_new_roman" w:eastAsia="times_new_roman" w:cs="times_new_roman"/>
          <w:color w:val="000000"/>
          <w:kern w:val="0"/>
          <w:sz w:val="27"/>
          <w:szCs w:val="27"/>
          <w:u w:val="single" w:color="000000"/>
        </w:rPr>
        <w:t> 1646.60</w:t>
      </w:r>
      <w:r>
        <w:rPr>
          <w:rFonts w:ascii="仿宋_GB2312" w:hAnsi="仿宋_GB2312" w:eastAsia="仿宋_GB2312" w:cs="仿宋_GB2312"/>
          <w:color w:val="000000"/>
          <w:kern w:val="0"/>
          <w:sz w:val="27"/>
          <w:szCs w:val="27"/>
        </w:rPr>
        <w:t>万元，其中：</w:t>
      </w:r>
    </w:p>
    <w:p w14:paraId="0A9BD6C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本年基本支出</w:t>
      </w:r>
      <w:r>
        <w:rPr>
          <w:rFonts w:ascii="times_new_roman" w:hAnsi="times_new_roman" w:eastAsia="times_new_roman" w:cs="times_new_roman"/>
          <w:color w:val="000000"/>
          <w:kern w:val="0"/>
          <w:sz w:val="27"/>
          <w:szCs w:val="27"/>
          <w:u w:val="single" w:color="000000"/>
        </w:rPr>
        <w:t> 613.81</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37.28</w:t>
      </w:r>
      <w:r>
        <w:rPr>
          <w:rFonts w:ascii="仿宋_GB2312" w:hAnsi="仿宋_GB2312" w:eastAsia="仿宋_GB2312" w:cs="仿宋_GB2312"/>
          <w:color w:val="000000"/>
          <w:kern w:val="0"/>
          <w:sz w:val="27"/>
          <w:szCs w:val="27"/>
        </w:rPr>
        <w:t>%；</w:t>
      </w:r>
    </w:p>
    <w:p w14:paraId="7D1D15C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本年项目支出</w:t>
      </w:r>
      <w:r>
        <w:rPr>
          <w:rFonts w:ascii="times_new_roman" w:hAnsi="times_new_roman" w:eastAsia="times_new_roman" w:cs="times_new_roman"/>
          <w:color w:val="000000"/>
          <w:kern w:val="0"/>
          <w:sz w:val="27"/>
          <w:szCs w:val="27"/>
          <w:u w:val="single" w:color="000000"/>
        </w:rPr>
        <w:t> 1032.78</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62.72</w:t>
      </w:r>
      <w:r>
        <w:rPr>
          <w:rFonts w:ascii="仿宋_GB2312" w:hAnsi="仿宋_GB2312" w:eastAsia="仿宋_GB2312" w:cs="仿宋_GB2312"/>
          <w:color w:val="000000"/>
          <w:kern w:val="0"/>
          <w:sz w:val="27"/>
          <w:szCs w:val="27"/>
        </w:rPr>
        <w:t>%；</w:t>
      </w:r>
    </w:p>
    <w:p w14:paraId="38FA38E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本年上缴上级支出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4E320A9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032797B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本年对附属单位补助支出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4120732C">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6" o:spt="75" type="#_x0000_t75" style="height:240.55pt;width:384.8pt;" filled="f" o:preferrelative="t" stroked="f" coordsize="21600,21600">
            <v:path/>
            <v:fill on="f" focussize="0,0"/>
            <v:stroke on="f"/>
            <v:imagedata r:id="rId7" o:title=""/>
            <o:lock v:ext="edit" aspectratio="t"/>
            <w10:wrap type="none"/>
            <w10:anchorlock/>
          </v:shape>
        </w:pict>
      </w:r>
      <w:r>
        <w:rPr>
          <w:rFonts w:ascii="Times New Roman" w:hAnsi="Times New Roman" w:eastAsia="Times New Roman" w:cs="Times New Roman"/>
          <w:kern w:val="0"/>
          <w:sz w:val="24"/>
        </w:rPr>
        <w:t> </w:t>
      </w:r>
    </w:p>
    <w:p w14:paraId="2C03D226">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图2.支出决算图</w:t>
      </w:r>
    </w:p>
    <w:p w14:paraId="2E9003FE">
      <w:pPr>
        <w:widowControl/>
        <w:spacing w:before="240" w:after="240"/>
        <w:jc w:val="left"/>
        <w:rPr>
          <w:rFonts w:ascii="Times New Roman" w:hAnsi="Times New Roman" w:eastAsia="Times New Roman" w:cs="Times New Roman"/>
          <w:kern w:val="0"/>
          <w:sz w:val="24"/>
        </w:rPr>
      </w:pPr>
    </w:p>
    <w:p w14:paraId="62B9DE2A">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四、财政拨款收入支出决算总体情况说明</w:t>
      </w:r>
    </w:p>
    <w:p w14:paraId="60D29BC1">
      <w:pPr>
        <w:keepNext w:val="0"/>
        <w:keepLines w:val="0"/>
        <w:pageBreakBefore w:val="0"/>
        <w:widowControl/>
        <w:kinsoku/>
        <w:wordWrap/>
        <w:overflowPunct/>
        <w:topLinePunct w:val="0"/>
        <w:autoSpaceDE/>
        <w:autoSpaceDN/>
        <w:bidi w:val="0"/>
        <w:adjustRightInd/>
        <w:snapToGrid/>
        <w:spacing w:before="240" w:after="240"/>
        <w:jc w:val="left"/>
        <w:textAlignment w:val="auto"/>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年度财政拨款收入、支出决算总计均为</w:t>
      </w:r>
      <w:r>
        <w:rPr>
          <w:rFonts w:ascii="times_new_roman" w:hAnsi="times_new_roman" w:eastAsia="times_new_roman" w:cs="times_new_roman"/>
          <w:color w:val="000000"/>
          <w:kern w:val="0"/>
          <w:sz w:val="27"/>
          <w:szCs w:val="27"/>
          <w:u w:val="single" w:color="000000"/>
        </w:rPr>
        <w:t> 1600.52</w:t>
      </w:r>
      <w:r>
        <w:rPr>
          <w:rFonts w:ascii="仿宋_GB2312" w:hAnsi="仿宋_GB2312" w:eastAsia="仿宋_GB2312" w:cs="仿宋_GB2312"/>
          <w:color w:val="000000"/>
          <w:kern w:val="0"/>
          <w:sz w:val="27"/>
          <w:szCs w:val="27"/>
        </w:rPr>
        <w:t>万元，与年初预算相比，收、支总计各减少</w:t>
      </w:r>
      <w:r>
        <w:rPr>
          <w:rFonts w:ascii="times_new_roman" w:hAnsi="times_new_roman" w:eastAsia="times_new_roman" w:cs="times_new_roman"/>
          <w:color w:val="000000"/>
          <w:kern w:val="0"/>
          <w:sz w:val="27"/>
          <w:szCs w:val="27"/>
          <w:u w:val="single" w:color="000000"/>
        </w:rPr>
        <w:t>432.61</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 21.28</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2024年人员工资和保险按实际发生支出及项目减少产生</w:t>
      </w:r>
      <w:r>
        <w:rPr>
          <w:rFonts w:ascii="仿宋_GB2312" w:hAnsi="仿宋_GB2312" w:eastAsia="仿宋_GB2312" w:cs="仿宋_GB2312"/>
          <w:color w:val="000000"/>
          <w:kern w:val="0"/>
          <w:sz w:val="27"/>
          <w:szCs w:val="27"/>
        </w:rPr>
        <w:t>；与上年决算相比，收、支总计各减少</w:t>
      </w:r>
      <w:r>
        <w:rPr>
          <w:rFonts w:ascii="times_new_roman" w:hAnsi="times_new_roman" w:eastAsia="times_new_roman" w:cs="times_new_roman"/>
          <w:color w:val="000000"/>
          <w:kern w:val="0"/>
          <w:sz w:val="27"/>
          <w:szCs w:val="27"/>
          <w:u w:val="single" w:color="000000"/>
        </w:rPr>
        <w:t>204.40</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11.32</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2024年度参照公务员法管理事业人员上年增加3人，项目较上年有所减少产生</w:t>
      </w:r>
      <w:r>
        <w:rPr>
          <w:rFonts w:ascii="仿宋_GB2312" w:hAnsi="仿宋_GB2312" w:eastAsia="仿宋_GB2312" w:cs="仿宋_GB2312"/>
          <w:color w:val="000000"/>
          <w:kern w:val="0"/>
          <w:sz w:val="27"/>
          <w:szCs w:val="27"/>
        </w:rPr>
        <w:t>。</w:t>
      </w:r>
    </w:p>
    <w:p w14:paraId="7F61A903">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五、一般公共预算财政拨款支出决算情况说明</w:t>
      </w:r>
    </w:p>
    <w:p w14:paraId="36C88B59">
      <w:pPr>
        <w:pStyle w:val="28"/>
        <w:widowControl/>
        <w:spacing w:before="240" w:after="240" w:line="560" w:lineRule="atLeast"/>
        <w:ind w:firstLine="540" w:firstLineChars="20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年度一般公共预算财政拨款支出决算</w:t>
      </w:r>
      <w:r>
        <w:rPr>
          <w:rFonts w:ascii="times_new_roman" w:hAnsi="times_new_roman" w:eastAsia="times_new_roman" w:cs="times_new_roman"/>
          <w:color w:val="000000"/>
          <w:kern w:val="0"/>
          <w:sz w:val="27"/>
          <w:szCs w:val="27"/>
          <w:u w:val="single" w:color="000000"/>
        </w:rPr>
        <w:t> 1600.52</w:t>
      </w:r>
      <w:r>
        <w:rPr>
          <w:rFonts w:ascii="仿宋_GB2312" w:hAnsi="仿宋_GB2312" w:eastAsia="仿宋_GB2312" w:cs="仿宋_GB2312"/>
          <w:color w:val="000000"/>
          <w:kern w:val="0"/>
          <w:sz w:val="27"/>
          <w:szCs w:val="27"/>
        </w:rPr>
        <w:t>万元。与年初预算</w:t>
      </w:r>
      <w:r>
        <w:rPr>
          <w:rFonts w:eastAsia="Times New Roman"/>
          <w:color w:val="000000"/>
          <w:kern w:val="0"/>
          <w:sz w:val="27"/>
          <w:szCs w:val="27"/>
          <w:u w:val="single" w:color="000000"/>
        </w:rPr>
        <w:t>2033.13</w:t>
      </w:r>
      <w:r>
        <w:rPr>
          <w:rFonts w:ascii="仿宋_GB2312" w:hAnsi="仿宋_GB2312" w:eastAsia="仿宋_GB2312" w:cs="仿宋_GB2312"/>
          <w:color w:val="000000"/>
          <w:kern w:val="0"/>
          <w:sz w:val="27"/>
          <w:szCs w:val="27"/>
        </w:rPr>
        <w:t>万元相比，完成年初预算的</w:t>
      </w:r>
      <w:r>
        <w:rPr>
          <w:rFonts w:eastAsia="Times New Roman"/>
          <w:color w:val="000000"/>
          <w:kern w:val="0"/>
          <w:sz w:val="27"/>
          <w:szCs w:val="27"/>
          <w:u w:val="single" w:color="000000"/>
        </w:rPr>
        <w:t>78.72</w:t>
      </w:r>
      <w:r>
        <w:rPr>
          <w:rFonts w:ascii="仿宋_GB2312" w:hAnsi="仿宋_GB2312" w:eastAsia="仿宋_GB2312" w:cs="仿宋_GB2312"/>
          <w:color w:val="000000"/>
          <w:kern w:val="0"/>
          <w:sz w:val="27"/>
          <w:szCs w:val="27"/>
        </w:rPr>
        <w:t>%。其中：</w:t>
      </w:r>
    </w:p>
    <w:p w14:paraId="34F2C4D4">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（一）一般公共服务（类）</w:t>
      </w:r>
    </w:p>
    <w:p w14:paraId="4F58A8A6">
      <w:pPr>
        <w:widowControl/>
        <w:spacing w:before="240" w:after="240"/>
        <w:ind w:firstLine="540" w:firstLineChars="20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一般公共服务（类）决算数为</w:t>
      </w:r>
      <w:r>
        <w:rPr>
          <w:rFonts w:ascii="times_new_roman" w:hAnsi="times_new_roman" w:eastAsia="times_new_roman" w:cs="times_new_roman"/>
          <w:color w:val="000000"/>
          <w:kern w:val="0"/>
          <w:sz w:val="27"/>
          <w:szCs w:val="27"/>
          <w:u w:val="single" w:color="000000"/>
        </w:rPr>
        <w:t> 50.00</w:t>
      </w:r>
      <w:r>
        <w:rPr>
          <w:rFonts w:ascii="仿宋_GB2312" w:hAnsi="仿宋_GB2312" w:eastAsia="仿宋_GB2312" w:cs="仿宋_GB2312"/>
          <w:color w:val="000000"/>
          <w:kern w:val="0"/>
          <w:sz w:val="27"/>
          <w:szCs w:val="27"/>
        </w:rPr>
        <w:t>万元，与年初预算相比增加</w:t>
      </w:r>
      <w:r>
        <w:rPr>
          <w:rFonts w:ascii="times_new_roman" w:hAnsi="times_new_roman" w:eastAsia="times_new_roman" w:cs="times_new_roman"/>
          <w:color w:val="000000"/>
          <w:kern w:val="0"/>
          <w:sz w:val="27"/>
          <w:szCs w:val="27"/>
          <w:u w:val="single" w:color="000000"/>
        </w:rPr>
        <w:t>50.00</w:t>
      </w:r>
      <w:r>
        <w:rPr>
          <w:rFonts w:ascii="仿宋_GB2312" w:hAnsi="仿宋_GB2312" w:eastAsia="仿宋_GB2312" w:cs="仿宋_GB2312"/>
          <w:color w:val="000000"/>
          <w:kern w:val="0"/>
          <w:sz w:val="27"/>
          <w:szCs w:val="27"/>
        </w:rPr>
        <w:t>万元。其中：</w:t>
      </w:r>
    </w:p>
    <w:p w14:paraId="074A5FD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hint="eastAsia" w:ascii="times_new_roman" w:hAnsi="times_new_roman" w:eastAsia="times_new_roman" w:cs="times_new_roman"/>
          <w:color w:val="000000"/>
          <w:kern w:val="0"/>
          <w:sz w:val="27"/>
          <w:szCs w:val="27"/>
          <w:lang w:val="en-US" w:eastAsia="zh-CN"/>
        </w:rPr>
        <w:t xml:space="preserve"> 1</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其他一般公共服务支出</w:t>
      </w:r>
      <w:r>
        <w:rPr>
          <w:rFonts w:ascii="仿宋_GB2312" w:hAnsi="仿宋_GB2312" w:eastAsia="仿宋_GB2312" w:cs="仿宋_GB2312"/>
          <w:color w:val="000000"/>
          <w:kern w:val="0"/>
          <w:sz w:val="27"/>
          <w:szCs w:val="27"/>
        </w:rPr>
        <w:t>（款）</w:t>
      </w:r>
      <w:r>
        <w:rPr>
          <w:rFonts w:hint="eastAsia" w:ascii="仿宋_GB2312" w:hAnsi="仿宋_GB2312" w:eastAsia="仿宋_GB2312" w:cs="仿宋_GB2312"/>
          <w:color w:val="000000"/>
          <w:kern w:val="0"/>
          <w:sz w:val="27"/>
          <w:szCs w:val="27"/>
        </w:rPr>
        <w:t>其他一般公共服务支出</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50</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2024年年中追加项目--</w:t>
      </w:r>
      <w:r>
        <w:rPr>
          <w:rFonts w:hint="eastAsia" w:ascii="仿宋_GB2312" w:hAnsi="仿宋_GB2312" w:eastAsia="仿宋_GB2312" w:cs="仿宋_GB2312"/>
          <w:color w:val="000000"/>
          <w:kern w:val="0"/>
          <w:sz w:val="27"/>
          <w:szCs w:val="27"/>
        </w:rPr>
        <w:t>2023年度全市县处级领导班子考核评优奖励经费</w:t>
      </w:r>
      <w:r>
        <w:rPr>
          <w:rFonts w:ascii="仿宋_GB2312" w:hAnsi="仿宋_GB2312" w:eastAsia="仿宋_GB2312" w:cs="仿宋_GB2312"/>
          <w:color w:val="000000"/>
          <w:kern w:val="0"/>
          <w:sz w:val="27"/>
          <w:szCs w:val="27"/>
        </w:rPr>
        <w:t>。</w:t>
      </w:r>
    </w:p>
    <w:p w14:paraId="34B6AE4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kai_ti_gb2312" w:hAnsi="kai_ti_gb2312" w:eastAsia="kai_ti_gb2312" w:cs="kai_ti_gb2312"/>
          <w:b/>
          <w:bCs/>
          <w:color w:val="000000"/>
          <w:kern w:val="0"/>
          <w:sz w:val="27"/>
          <w:szCs w:val="27"/>
        </w:rPr>
        <w:t>（二）</w:t>
      </w:r>
      <w:r>
        <w:rPr>
          <w:rFonts w:hint="eastAsia" w:ascii="kai_ti_gb2312" w:hAnsi="kai_ti_gb2312" w:eastAsia="kai_ti_gb2312" w:cs="kai_ti_gb2312"/>
          <w:b/>
          <w:bCs/>
          <w:color w:val="000000"/>
          <w:kern w:val="0"/>
          <w:sz w:val="27"/>
          <w:szCs w:val="27"/>
        </w:rPr>
        <w:t>科学技术支出</w:t>
      </w:r>
      <w:r>
        <w:rPr>
          <w:rFonts w:ascii="kai_ti_gb2312" w:hAnsi="kai_ti_gb2312" w:eastAsia="kai_ti_gb2312" w:cs="kai_ti_gb2312"/>
          <w:b/>
          <w:bCs/>
          <w:color w:val="000000"/>
          <w:kern w:val="0"/>
          <w:sz w:val="27"/>
          <w:szCs w:val="27"/>
        </w:rPr>
        <w:t>（类）</w:t>
      </w:r>
    </w:p>
    <w:p w14:paraId="269F6372">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科学技术支出</w:t>
      </w:r>
      <w:r>
        <w:rPr>
          <w:rFonts w:hint="eastAsia" w:ascii="仿宋_GB2312" w:hAnsi="仿宋_GB2312" w:eastAsia="仿宋_GB2312" w:cs="仿宋_GB2312"/>
          <w:color w:val="000000"/>
          <w:kern w:val="0"/>
          <w:sz w:val="27"/>
          <w:szCs w:val="27"/>
        </w:rPr>
        <w:t>（类）决算数为</w:t>
      </w:r>
      <w:r>
        <w:rPr>
          <w:rFonts w:hint="eastAsia" w:ascii="times_new_roman" w:hAnsi="times_new_roman" w:eastAsia="times_new_roman" w:cs="times_new_roman"/>
          <w:color w:val="000000"/>
          <w:kern w:val="0"/>
          <w:sz w:val="27"/>
          <w:szCs w:val="27"/>
          <w:u w:val="single" w:color="000000"/>
          <w:lang w:val="en-US" w:eastAsia="zh-CN"/>
        </w:rPr>
        <w:t>1395.39</w:t>
      </w:r>
      <w:r>
        <w:rPr>
          <w:rFonts w:hint="eastAsia" w:ascii="仿宋_GB2312" w:hAnsi="仿宋_GB2312" w:eastAsia="仿宋_GB2312" w:cs="仿宋_GB2312"/>
          <w:color w:val="000000"/>
          <w:kern w:val="0"/>
          <w:sz w:val="27"/>
          <w:szCs w:val="27"/>
        </w:rPr>
        <w:t>万元，与年初预算相比</w:t>
      </w:r>
      <w:r>
        <w:rPr>
          <w:rFonts w:hint="eastAsia" w:ascii="仿宋_GB2312" w:hAnsi="仿宋_GB2312" w:eastAsia="仿宋_GB2312" w:cs="仿宋_GB2312"/>
          <w:color w:val="000000"/>
          <w:kern w:val="0"/>
          <w:sz w:val="27"/>
          <w:szCs w:val="27"/>
          <w:lang w:val="en-US" w:eastAsia="zh-CN"/>
        </w:rPr>
        <w:t>减少</w:t>
      </w:r>
      <w:r>
        <w:rPr>
          <w:rFonts w:hint="eastAsia" w:ascii="times_new_roman" w:hAnsi="times_new_roman" w:eastAsia="times_new_roman" w:cs="times_new_roman"/>
          <w:color w:val="000000"/>
          <w:kern w:val="0"/>
          <w:sz w:val="27"/>
          <w:szCs w:val="27"/>
          <w:u w:val="single" w:color="000000"/>
          <w:lang w:val="en-US" w:eastAsia="zh-CN"/>
        </w:rPr>
        <w:t>476.81</w:t>
      </w:r>
      <w:r>
        <w:rPr>
          <w:rFonts w:hint="eastAsia" w:ascii="仿宋_GB2312" w:hAnsi="仿宋_GB2312" w:eastAsia="仿宋_GB2312" w:cs="仿宋_GB2312"/>
          <w:color w:val="000000"/>
          <w:kern w:val="0"/>
          <w:sz w:val="27"/>
          <w:szCs w:val="27"/>
        </w:rPr>
        <w:t>万元。其中：</w:t>
      </w:r>
    </w:p>
    <w:p w14:paraId="78C2AE71">
      <w:pPr>
        <w:widowControl/>
        <w:spacing w:before="240" w:after="240"/>
        <w:ind w:firstLine="540" w:firstLineChars="200"/>
        <w:rPr>
          <w:rFonts w:hint="eastAsia"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1</w:t>
      </w:r>
      <w:r>
        <w:rPr>
          <w:rFonts w:hint="eastAsia" w:ascii="仿宋_GB2312" w:hAnsi="仿宋_GB2312" w:eastAsia="仿宋_GB2312" w:cs="仿宋_GB2312"/>
          <w:color w:val="000000"/>
          <w:kern w:val="0"/>
          <w:sz w:val="27"/>
          <w:szCs w:val="27"/>
        </w:rPr>
        <w:t>．科学技术普及（款）机构运行（项）。年初预算</w:t>
      </w:r>
      <w:r>
        <w:rPr>
          <w:rFonts w:hint="eastAsia" w:ascii="times_new_roman" w:hAnsi="times_new_roman" w:eastAsia="times_new_roman" w:cs="times_new_roman"/>
          <w:color w:val="000000"/>
          <w:kern w:val="0"/>
          <w:sz w:val="27"/>
          <w:szCs w:val="27"/>
          <w:u w:val="single" w:color="000000"/>
          <w:lang w:val="en-US" w:eastAsia="zh-CN"/>
        </w:rPr>
        <w:t>295.67</w:t>
      </w:r>
      <w:r>
        <w:rPr>
          <w:rFonts w:hint="eastAsia" w:ascii="仿宋_GB2312" w:hAnsi="仿宋_GB2312" w:eastAsia="仿宋_GB2312" w:cs="仿宋_GB2312"/>
          <w:color w:val="000000"/>
          <w:kern w:val="0"/>
          <w:sz w:val="27"/>
          <w:szCs w:val="27"/>
        </w:rPr>
        <w:t>万元，支出决算</w:t>
      </w:r>
      <w:r>
        <w:rPr>
          <w:rFonts w:hint="eastAsia" w:ascii="times_new_roman" w:hAnsi="times_new_roman" w:eastAsia="times_new_roman" w:cs="times_new_roman"/>
          <w:color w:val="000000"/>
          <w:kern w:val="0"/>
          <w:sz w:val="27"/>
          <w:szCs w:val="27"/>
          <w:u w:val="single" w:color="000000"/>
          <w:lang w:val="en-US" w:eastAsia="zh-CN"/>
        </w:rPr>
        <w:t>310.69</w:t>
      </w:r>
      <w:r>
        <w:rPr>
          <w:rFonts w:hint="eastAsia" w:ascii="仿宋_GB2312" w:hAnsi="仿宋_GB2312" w:eastAsia="仿宋_GB2312" w:cs="仿宋_GB2312"/>
          <w:color w:val="000000"/>
          <w:kern w:val="0"/>
          <w:sz w:val="27"/>
          <w:szCs w:val="27"/>
        </w:rPr>
        <w:t>万元，完成年初预算的</w:t>
      </w:r>
      <w:r>
        <w:rPr>
          <w:rFonts w:hint="eastAsia" w:ascii="times_new_roman" w:hAnsi="times_new_roman" w:eastAsia="times_new_roman" w:cs="times_new_roman"/>
          <w:color w:val="000000"/>
          <w:kern w:val="0"/>
          <w:sz w:val="27"/>
          <w:szCs w:val="27"/>
          <w:u w:val="single" w:color="000000"/>
          <w:lang w:val="en-US" w:eastAsia="zh-CN"/>
        </w:rPr>
        <w:t>105.08</w:t>
      </w:r>
      <w:r>
        <w:rPr>
          <w:rFonts w:hint="eastAsia" w:ascii="仿宋_GB2312" w:hAnsi="仿宋_GB2312" w:eastAsia="仿宋_GB2312" w:cs="仿宋_GB2312"/>
          <w:color w:val="000000"/>
          <w:kern w:val="0"/>
          <w:sz w:val="27"/>
          <w:szCs w:val="27"/>
        </w:rPr>
        <w:t>%。决算数与年初预算数的差异原因：2024年参照公务员法管理事业人员</w:t>
      </w:r>
      <w:r>
        <w:rPr>
          <w:rFonts w:hint="eastAsia" w:ascii="仿宋_GB2312" w:hAnsi="仿宋_GB2312" w:eastAsia="仿宋_GB2312" w:cs="仿宋_GB2312"/>
          <w:color w:val="000000"/>
          <w:kern w:val="0"/>
          <w:sz w:val="27"/>
          <w:szCs w:val="27"/>
          <w:lang w:val="en-US" w:eastAsia="zh-CN"/>
        </w:rPr>
        <w:t>增加3人和社保基数调整及项目增加产生</w:t>
      </w:r>
      <w:r>
        <w:rPr>
          <w:rFonts w:hint="eastAsia" w:ascii="仿宋_GB2312" w:hAnsi="仿宋_GB2312" w:eastAsia="仿宋_GB2312" w:cs="仿宋_GB2312"/>
          <w:color w:val="000000"/>
          <w:kern w:val="0"/>
          <w:sz w:val="27"/>
          <w:szCs w:val="27"/>
        </w:rPr>
        <w:t>。</w:t>
      </w:r>
    </w:p>
    <w:p w14:paraId="741D4685">
      <w:pPr>
        <w:widowControl/>
        <w:spacing w:before="240" w:after="240"/>
        <w:ind w:firstLine="540" w:firstLineChars="200"/>
        <w:rPr>
          <w:rFonts w:hint="eastAsia"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2</w:t>
      </w:r>
      <w:r>
        <w:rPr>
          <w:rFonts w:hint="eastAsia" w:ascii="仿宋_GB2312" w:hAnsi="仿宋_GB2312" w:eastAsia="仿宋_GB2312" w:cs="仿宋_GB2312"/>
          <w:color w:val="000000"/>
          <w:kern w:val="0"/>
          <w:sz w:val="27"/>
          <w:szCs w:val="27"/>
        </w:rPr>
        <w:t>．科学技术普及（款）科普活动（项）。年初预算</w:t>
      </w:r>
      <w:r>
        <w:rPr>
          <w:rFonts w:hint="eastAsia" w:ascii="times_new_roman" w:hAnsi="times_new_roman" w:eastAsia="times_new_roman" w:cs="times_new_roman"/>
          <w:color w:val="000000"/>
          <w:kern w:val="0"/>
          <w:sz w:val="27"/>
          <w:szCs w:val="27"/>
          <w:u w:val="single" w:color="000000"/>
          <w:lang w:val="en-US" w:eastAsia="zh-CN"/>
        </w:rPr>
        <w:t>730.53</w:t>
      </w:r>
      <w:r>
        <w:rPr>
          <w:rFonts w:hint="eastAsia" w:ascii="仿宋_GB2312" w:hAnsi="仿宋_GB2312" w:eastAsia="仿宋_GB2312" w:cs="仿宋_GB2312"/>
          <w:color w:val="000000"/>
          <w:kern w:val="0"/>
          <w:sz w:val="27"/>
          <w:szCs w:val="27"/>
        </w:rPr>
        <w:t>万元，支出决算</w:t>
      </w:r>
      <w:r>
        <w:rPr>
          <w:rFonts w:hint="eastAsia" w:ascii="times_new_roman" w:hAnsi="times_new_roman" w:eastAsia="times_new_roman" w:cs="times_new_roman"/>
          <w:color w:val="000000"/>
          <w:kern w:val="0"/>
          <w:sz w:val="27"/>
          <w:szCs w:val="27"/>
          <w:u w:val="single" w:color="000000"/>
          <w:lang w:val="en-US" w:eastAsia="zh-CN"/>
        </w:rPr>
        <w:t>659.04</w:t>
      </w:r>
      <w:r>
        <w:rPr>
          <w:rFonts w:hint="eastAsia" w:ascii="仿宋_GB2312" w:hAnsi="仿宋_GB2312" w:eastAsia="仿宋_GB2312" w:cs="仿宋_GB2312"/>
          <w:color w:val="000000"/>
          <w:kern w:val="0"/>
          <w:sz w:val="27"/>
          <w:szCs w:val="27"/>
        </w:rPr>
        <w:t>万元，完成年初预算的</w:t>
      </w:r>
      <w:r>
        <w:rPr>
          <w:rFonts w:hint="eastAsia" w:ascii="times_new_roman" w:hAnsi="times_new_roman" w:eastAsia="times_new_roman" w:cs="times_new_roman"/>
          <w:color w:val="000000"/>
          <w:kern w:val="0"/>
          <w:sz w:val="27"/>
          <w:szCs w:val="27"/>
          <w:u w:val="single" w:color="000000"/>
          <w:lang w:val="en-US" w:eastAsia="zh-CN"/>
        </w:rPr>
        <w:t>90.21</w:t>
      </w:r>
      <w:r>
        <w:rPr>
          <w:rFonts w:hint="eastAsia" w:ascii="仿宋_GB2312" w:hAnsi="仿宋_GB2312" w:eastAsia="仿宋_GB2312" w:cs="仿宋_GB2312"/>
          <w:color w:val="000000"/>
          <w:kern w:val="0"/>
          <w:sz w:val="27"/>
          <w:szCs w:val="27"/>
        </w:rPr>
        <w:t>%。决算数与年初预算数的差异原因：2024年</w:t>
      </w:r>
      <w:r>
        <w:rPr>
          <w:rFonts w:hint="eastAsia" w:ascii="仿宋_GB2312" w:hAnsi="仿宋_GB2312" w:eastAsia="仿宋_GB2312" w:cs="仿宋_GB2312"/>
          <w:color w:val="000000"/>
          <w:kern w:val="0"/>
          <w:sz w:val="27"/>
          <w:szCs w:val="27"/>
          <w:lang w:val="en-US" w:eastAsia="zh-CN"/>
        </w:rPr>
        <w:t>按实际业务，项目较少产生</w:t>
      </w:r>
      <w:r>
        <w:rPr>
          <w:rFonts w:hint="eastAsia" w:ascii="仿宋_GB2312" w:hAnsi="仿宋_GB2312" w:eastAsia="仿宋_GB2312" w:cs="仿宋_GB2312"/>
          <w:color w:val="000000"/>
          <w:kern w:val="0"/>
          <w:sz w:val="27"/>
          <w:szCs w:val="27"/>
        </w:rPr>
        <w:t>。</w:t>
      </w:r>
    </w:p>
    <w:p w14:paraId="28D9A335">
      <w:pPr>
        <w:widowControl/>
        <w:spacing w:before="240" w:after="240"/>
        <w:ind w:firstLine="540" w:firstLineChars="200"/>
        <w:rPr>
          <w:rFonts w:hint="eastAsia"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3</w:t>
      </w:r>
      <w:r>
        <w:rPr>
          <w:rFonts w:hint="eastAsia" w:ascii="仿宋_GB2312" w:hAnsi="仿宋_GB2312" w:eastAsia="仿宋_GB2312" w:cs="仿宋_GB2312"/>
          <w:color w:val="000000"/>
          <w:kern w:val="0"/>
          <w:sz w:val="27"/>
          <w:szCs w:val="27"/>
        </w:rPr>
        <w:t>．科学技术普及（款）科技馆站（项）。年初预算</w:t>
      </w:r>
      <w:r>
        <w:rPr>
          <w:rFonts w:hint="eastAsia" w:ascii="times_new_roman" w:hAnsi="times_new_roman" w:eastAsia="times_new_roman" w:cs="times_new_roman"/>
          <w:color w:val="000000"/>
          <w:kern w:val="0"/>
          <w:sz w:val="27"/>
          <w:szCs w:val="27"/>
          <w:u w:val="single" w:color="000000"/>
          <w:lang w:val="en-US" w:eastAsia="zh-CN"/>
        </w:rPr>
        <w:t>846.01</w:t>
      </w:r>
      <w:r>
        <w:rPr>
          <w:rFonts w:hint="eastAsia" w:ascii="仿宋_GB2312" w:hAnsi="仿宋_GB2312" w:eastAsia="仿宋_GB2312" w:cs="仿宋_GB2312"/>
          <w:color w:val="000000"/>
          <w:kern w:val="0"/>
          <w:sz w:val="27"/>
          <w:szCs w:val="27"/>
        </w:rPr>
        <w:t>万元，支出决算</w:t>
      </w:r>
      <w:r>
        <w:rPr>
          <w:rFonts w:hint="eastAsia" w:ascii="times_new_roman" w:hAnsi="times_new_roman" w:eastAsia="times_new_roman" w:cs="times_new_roman"/>
          <w:color w:val="000000"/>
          <w:kern w:val="0"/>
          <w:sz w:val="27"/>
          <w:szCs w:val="27"/>
          <w:u w:val="single" w:color="000000"/>
          <w:lang w:val="en-US" w:eastAsia="zh-CN"/>
        </w:rPr>
        <w:t>425.65</w:t>
      </w:r>
      <w:r>
        <w:rPr>
          <w:rFonts w:hint="eastAsia" w:ascii="仿宋_GB2312" w:hAnsi="仿宋_GB2312" w:eastAsia="仿宋_GB2312" w:cs="仿宋_GB2312"/>
          <w:color w:val="000000"/>
          <w:kern w:val="0"/>
          <w:sz w:val="27"/>
          <w:szCs w:val="27"/>
        </w:rPr>
        <w:t>万元，完成年初预算的</w:t>
      </w:r>
      <w:r>
        <w:rPr>
          <w:rFonts w:hint="eastAsia" w:ascii="times_new_roman" w:hAnsi="times_new_roman" w:eastAsia="times_new_roman" w:cs="times_new_roman"/>
          <w:color w:val="000000"/>
          <w:kern w:val="0"/>
          <w:sz w:val="27"/>
          <w:szCs w:val="27"/>
          <w:u w:val="single" w:color="000000"/>
          <w:lang w:val="en-US" w:eastAsia="zh-CN"/>
        </w:rPr>
        <w:t>57.06</w:t>
      </w:r>
      <w:r>
        <w:rPr>
          <w:rFonts w:hint="eastAsia" w:ascii="仿宋_GB2312" w:hAnsi="仿宋_GB2312" w:eastAsia="仿宋_GB2312" w:cs="仿宋_GB2312"/>
          <w:color w:val="000000"/>
          <w:kern w:val="0"/>
          <w:sz w:val="27"/>
          <w:szCs w:val="27"/>
        </w:rPr>
        <w:t>%。决算数与年初预算数的差异原因：2024年按实际业务，项目较少产生。</w:t>
      </w:r>
    </w:p>
    <w:p w14:paraId="023D24C3">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（三）社会保障和就业支出（类）</w:t>
      </w:r>
    </w:p>
    <w:p w14:paraId="0580008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社会保障和就业支出（类）决算数为</w:t>
      </w:r>
      <w:r>
        <w:rPr>
          <w:rFonts w:ascii="times_new_roman" w:hAnsi="times_new_roman" w:eastAsia="times_new_roman" w:cs="times_new_roman"/>
          <w:color w:val="000000"/>
          <w:kern w:val="0"/>
          <w:sz w:val="27"/>
          <w:szCs w:val="27"/>
          <w:u w:val="single" w:color="000000"/>
        </w:rPr>
        <w:t> 88.31</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6.42</w:t>
      </w:r>
      <w:r>
        <w:rPr>
          <w:rFonts w:ascii="仿宋_GB2312" w:hAnsi="仿宋_GB2312" w:eastAsia="仿宋_GB2312" w:cs="仿宋_GB2312"/>
          <w:color w:val="000000"/>
          <w:kern w:val="0"/>
          <w:sz w:val="27"/>
          <w:szCs w:val="27"/>
        </w:rPr>
        <w:t>万元。其中：</w:t>
      </w:r>
    </w:p>
    <w:p w14:paraId="40E51B3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行政事业单位养老支出（款）行政单位离退休（项）。年初预算</w:t>
      </w:r>
      <w:r>
        <w:rPr>
          <w:rFonts w:hint="eastAsia" w:ascii="times_new_roman" w:hAnsi="times_new_roman" w:cs="times_new_roman"/>
          <w:color w:val="000000"/>
          <w:kern w:val="0"/>
          <w:sz w:val="27"/>
          <w:szCs w:val="27"/>
          <w:u w:val="single" w:color="000000"/>
          <w:lang w:val="en-US" w:eastAsia="zh-CN"/>
        </w:rPr>
        <w:t>25.50</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25.50</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决算数与年初预算数无差异</w:t>
      </w:r>
      <w:r>
        <w:rPr>
          <w:rFonts w:ascii="仿宋_GB2312" w:hAnsi="仿宋_GB2312" w:eastAsia="仿宋_GB2312" w:cs="仿宋_GB2312"/>
          <w:color w:val="000000"/>
          <w:kern w:val="0"/>
          <w:sz w:val="27"/>
          <w:szCs w:val="27"/>
        </w:rPr>
        <w:t>。</w:t>
      </w:r>
    </w:p>
    <w:p w14:paraId="3444BC8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2．</w:t>
      </w:r>
      <w:r>
        <w:rPr>
          <w:rFonts w:ascii="仿宋_GB2312" w:hAnsi="仿宋_GB2312" w:eastAsia="仿宋_GB2312" w:cs="仿宋_GB2312"/>
          <w:color w:val="000000"/>
          <w:kern w:val="0"/>
          <w:sz w:val="27"/>
          <w:szCs w:val="27"/>
        </w:rPr>
        <w:t>行政事业单位养老支出（款）事业单位离退休（项）。年初预算</w:t>
      </w:r>
      <w:r>
        <w:rPr>
          <w:rFonts w:hint="eastAsia" w:ascii="times_new_roman" w:hAnsi="times_new_roman" w:cs="times_new_roman"/>
          <w:color w:val="000000"/>
          <w:kern w:val="0"/>
          <w:sz w:val="27"/>
          <w:szCs w:val="27"/>
          <w:u w:val="single" w:color="000000"/>
          <w:lang w:val="en-US" w:eastAsia="zh-CN"/>
        </w:rPr>
        <w:t>9.85</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10.03</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101.83</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2024年有新增退休人员</w:t>
      </w:r>
      <w:r>
        <w:rPr>
          <w:rFonts w:ascii="仿宋_GB2312" w:hAnsi="仿宋_GB2312" w:eastAsia="仿宋_GB2312" w:cs="仿宋_GB2312"/>
          <w:color w:val="000000"/>
          <w:kern w:val="0"/>
          <w:sz w:val="27"/>
          <w:szCs w:val="27"/>
        </w:rPr>
        <w:t>。</w:t>
      </w:r>
    </w:p>
    <w:p w14:paraId="70A4B4B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3．</w:t>
      </w:r>
      <w:r>
        <w:rPr>
          <w:rFonts w:ascii="仿宋_GB2312" w:hAnsi="仿宋_GB2312" w:eastAsia="仿宋_GB2312" w:cs="仿宋_GB2312"/>
          <w:color w:val="000000"/>
          <w:kern w:val="0"/>
          <w:sz w:val="27"/>
          <w:szCs w:val="27"/>
        </w:rPr>
        <w:t>行政事业单位养老支出（款）机关事业单位基本养老保险缴费支出（项）。年初预算</w:t>
      </w:r>
      <w:r>
        <w:rPr>
          <w:rFonts w:hint="eastAsia" w:ascii="times_new_roman" w:hAnsi="times_new_roman" w:cs="times_new_roman"/>
          <w:color w:val="000000"/>
          <w:kern w:val="0"/>
          <w:sz w:val="27"/>
          <w:szCs w:val="27"/>
          <w:u w:val="single" w:color="000000"/>
          <w:lang w:val="en-US" w:eastAsia="zh-CN"/>
        </w:rPr>
        <w:t>44.24</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43.36</w:t>
      </w:r>
      <w:r>
        <w:rPr>
          <w:rFonts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lang w:val="en-US" w:eastAsia="zh-CN"/>
        </w:rPr>
        <w:t>98.01</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2024年度按实际人员及社保基数支出产生差异</w:t>
      </w:r>
      <w:r>
        <w:rPr>
          <w:rFonts w:ascii="仿宋_GB2312" w:hAnsi="仿宋_GB2312" w:eastAsia="仿宋_GB2312" w:cs="仿宋_GB2312"/>
          <w:color w:val="000000"/>
          <w:kern w:val="0"/>
          <w:sz w:val="27"/>
          <w:szCs w:val="27"/>
        </w:rPr>
        <w:t>。</w:t>
      </w:r>
    </w:p>
    <w:p w14:paraId="7FC380B7">
      <w:pPr>
        <w:widowControl/>
        <w:spacing w:before="240" w:after="240"/>
        <w:ind w:firstLine="540" w:firstLineChars="200"/>
        <w:jc w:val="left"/>
        <w:rPr>
          <w:rFonts w:ascii="仿宋_GB2312" w:hAnsi="仿宋_GB2312" w:eastAsia="仿宋_GB2312" w:cs="仿宋_GB2312"/>
          <w:color w:val="000000"/>
          <w:kern w:val="0"/>
          <w:sz w:val="27"/>
          <w:szCs w:val="27"/>
        </w:rPr>
      </w:pPr>
      <w:r>
        <w:rPr>
          <w:rFonts w:ascii="times_new_roman" w:hAnsi="times_new_roman" w:eastAsia="times_new_roman" w:cs="times_new_roman"/>
          <w:color w:val="000000"/>
          <w:kern w:val="0"/>
          <w:sz w:val="27"/>
          <w:szCs w:val="27"/>
        </w:rPr>
        <w:t>4．</w:t>
      </w:r>
      <w:r>
        <w:rPr>
          <w:rFonts w:ascii="仿宋_GB2312" w:hAnsi="仿宋_GB2312" w:eastAsia="仿宋_GB2312" w:cs="仿宋_GB2312"/>
          <w:color w:val="000000"/>
          <w:kern w:val="0"/>
          <w:sz w:val="27"/>
          <w:szCs w:val="27"/>
        </w:rPr>
        <w:t>行政事业单位养老支出（款）机关事业单位职业年金缴费支出（项）。年初预算</w:t>
      </w:r>
      <w:r>
        <w:rPr>
          <w:rFonts w:hint="eastAsia" w:ascii="times_new_roman" w:hAnsi="times_new_roman" w:cs="times_new_roman"/>
          <w:color w:val="000000"/>
          <w:kern w:val="0"/>
          <w:sz w:val="27"/>
          <w:szCs w:val="27"/>
          <w:u w:val="single" w:color="000000"/>
          <w:lang w:val="en-US" w:eastAsia="zh-CN"/>
        </w:rPr>
        <w:t>10</w:t>
      </w:r>
      <w:r>
        <w:rPr>
          <w:rFonts w:ascii="仿宋_GB2312" w:hAnsi="仿宋_GB2312" w:eastAsia="仿宋_GB2312" w:cs="仿宋_GB2312"/>
          <w:color w:val="000000"/>
          <w:kern w:val="0"/>
          <w:sz w:val="27"/>
          <w:szCs w:val="27"/>
        </w:rPr>
        <w:t>万元，支出决算</w:t>
      </w:r>
      <w:r>
        <w:rPr>
          <w:rFonts w:hint="eastAsia" w:ascii="times_new_roman" w:hAnsi="times_new_roman" w:eastAsia="times_new_roman" w:cs="times_new_roman"/>
          <w:color w:val="000000"/>
          <w:kern w:val="0"/>
          <w:sz w:val="27"/>
          <w:szCs w:val="27"/>
          <w:u w:val="single" w:color="000000"/>
          <w:lang w:val="en-US" w:eastAsia="zh-CN"/>
        </w:rPr>
        <w:t>4.88</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48.8</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rPr>
        <w:t>2024年度按实际人员及社保基数支出产生差异</w:t>
      </w:r>
      <w:r>
        <w:rPr>
          <w:rFonts w:ascii="仿宋_GB2312" w:hAnsi="仿宋_GB2312" w:eastAsia="仿宋_GB2312" w:cs="仿宋_GB2312"/>
          <w:color w:val="000000"/>
          <w:kern w:val="0"/>
          <w:sz w:val="27"/>
          <w:szCs w:val="27"/>
        </w:rPr>
        <w:t>。</w:t>
      </w:r>
    </w:p>
    <w:p w14:paraId="70DC54DB">
      <w:pPr>
        <w:widowControl/>
        <w:spacing w:before="240" w:after="240"/>
        <w:ind w:firstLine="540" w:firstLineChars="200"/>
        <w:jc w:val="left"/>
        <w:rPr>
          <w:rFonts w:ascii="仿宋_GB2312" w:hAnsi="仿宋_GB2312" w:eastAsia="仿宋_GB2312" w:cs="仿宋_GB2312"/>
          <w:color w:val="000000"/>
          <w:kern w:val="0"/>
          <w:sz w:val="27"/>
          <w:szCs w:val="27"/>
        </w:rPr>
      </w:pPr>
      <w:r>
        <w:rPr>
          <w:rFonts w:hint="eastAsia" w:ascii="times_new_roman" w:hAnsi="times_new_roman" w:cs="times_new_roman"/>
          <w:color w:val="000000"/>
          <w:kern w:val="0"/>
          <w:sz w:val="27"/>
          <w:szCs w:val="27"/>
          <w:lang w:val="en-US" w:eastAsia="zh-CN"/>
        </w:rPr>
        <w:t>5</w:t>
      </w:r>
      <w:r>
        <w:rPr>
          <w:rFonts w:hint="eastAsia" w:ascii="仿宋_GB2312" w:hAnsi="仿宋_GB2312" w:eastAsia="仿宋_GB2312" w:cs="仿宋_GB2312"/>
          <w:color w:val="000000"/>
          <w:kern w:val="0"/>
          <w:sz w:val="27"/>
          <w:szCs w:val="27"/>
        </w:rPr>
        <w:t>．其他社会保障和就业支出款）其他社会保障和就业支出项）。年初预算</w:t>
      </w:r>
      <w:r>
        <w:rPr>
          <w:rFonts w:hint="eastAsia" w:ascii="times_new_roman" w:hAnsi="times_new_roman" w:eastAsia="times_new_roman" w:cs="times_new_roman"/>
          <w:color w:val="000000"/>
          <w:kern w:val="0"/>
          <w:sz w:val="27"/>
          <w:szCs w:val="27"/>
          <w:u w:val="single" w:color="000000"/>
          <w:lang w:val="en-US" w:eastAsia="zh-CN"/>
        </w:rPr>
        <w:t>5.14</w:t>
      </w:r>
      <w:r>
        <w:rPr>
          <w:rFonts w:hint="eastAsia" w:ascii="仿宋_GB2312" w:hAnsi="仿宋_GB2312" w:eastAsia="仿宋_GB2312" w:cs="仿宋_GB2312"/>
          <w:color w:val="000000"/>
          <w:kern w:val="0"/>
          <w:sz w:val="27"/>
          <w:szCs w:val="27"/>
        </w:rPr>
        <w:t>万元，支出决算</w:t>
      </w:r>
      <w:r>
        <w:rPr>
          <w:rFonts w:hint="eastAsia" w:ascii="times_new_roman" w:hAnsi="times_new_roman" w:eastAsia="times_new_roman" w:cs="times_new_roman"/>
          <w:color w:val="000000"/>
          <w:kern w:val="0"/>
          <w:sz w:val="27"/>
          <w:szCs w:val="27"/>
          <w:u w:val="single" w:color="000000"/>
          <w:lang w:val="en-US" w:eastAsia="zh-CN"/>
        </w:rPr>
        <w:t>4.55</w:t>
      </w:r>
      <w:r>
        <w:rPr>
          <w:rFonts w:hint="eastAsia" w:ascii="仿宋_GB2312" w:hAnsi="仿宋_GB2312" w:eastAsia="仿宋_GB2312" w:cs="仿宋_GB2312"/>
          <w:color w:val="000000"/>
          <w:kern w:val="0"/>
          <w:sz w:val="27"/>
          <w:szCs w:val="27"/>
        </w:rPr>
        <w:t>万元，完成年初预算的</w:t>
      </w:r>
      <w:r>
        <w:rPr>
          <w:rFonts w:hint="eastAsia" w:ascii="times_new_roman" w:hAnsi="times_new_roman" w:eastAsia="times_new_roman" w:cs="times_new_roman"/>
          <w:color w:val="000000"/>
          <w:kern w:val="0"/>
          <w:sz w:val="27"/>
          <w:szCs w:val="27"/>
          <w:u w:val="single" w:color="000000"/>
          <w:lang w:val="en-US" w:eastAsia="zh-CN"/>
        </w:rPr>
        <w:t>88.35</w:t>
      </w:r>
      <w:r>
        <w:rPr>
          <w:rFonts w:hint="eastAsia" w:ascii="仿宋_GB2312" w:hAnsi="仿宋_GB2312" w:eastAsia="仿宋_GB2312" w:cs="仿宋_GB2312"/>
          <w:color w:val="000000"/>
          <w:kern w:val="0"/>
          <w:sz w:val="27"/>
          <w:szCs w:val="27"/>
        </w:rPr>
        <w:t>%。决算数与年初预算数的差异原因：2024年度按实际人员及社保基数支出产生差异。</w:t>
      </w:r>
    </w:p>
    <w:p w14:paraId="351E8CB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kai_ti_gb2312" w:hAnsi="kai_ti_gb2312" w:eastAsia="kai_ti_gb2312" w:cs="kai_ti_gb2312"/>
          <w:b/>
          <w:bCs/>
          <w:color w:val="000000"/>
          <w:kern w:val="0"/>
          <w:sz w:val="27"/>
          <w:szCs w:val="27"/>
        </w:rPr>
        <w:t>  （四）卫生健康支出（类）</w:t>
      </w:r>
    </w:p>
    <w:p w14:paraId="32CDB5C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卫生健康支出（类）决算数为</w:t>
      </w:r>
      <w:r>
        <w:rPr>
          <w:rFonts w:ascii="times_new_roman" w:hAnsi="times_new_roman" w:eastAsia="times_new_roman" w:cs="times_new_roman"/>
          <w:color w:val="000000"/>
          <w:kern w:val="0"/>
          <w:sz w:val="27"/>
          <w:szCs w:val="27"/>
          <w:u w:val="single" w:color="000000"/>
        </w:rPr>
        <w:t> 23.28</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0.95</w:t>
      </w:r>
      <w:r>
        <w:rPr>
          <w:rFonts w:ascii="仿宋_GB2312" w:hAnsi="仿宋_GB2312" w:eastAsia="仿宋_GB2312" w:cs="仿宋_GB2312"/>
          <w:color w:val="000000"/>
          <w:kern w:val="0"/>
          <w:sz w:val="27"/>
          <w:szCs w:val="27"/>
        </w:rPr>
        <w:t>万元。其中：</w:t>
      </w:r>
    </w:p>
    <w:p w14:paraId="17F8E93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行政事业单位医疗（款）行政单位医疗（项）。年初预算</w:t>
      </w:r>
      <w:r>
        <w:rPr>
          <w:rFonts w:hint="eastAsia" w:ascii="times_new_roman" w:hAnsi="times_new_roman" w:cs="times_new_roman"/>
          <w:color w:val="000000"/>
          <w:kern w:val="0"/>
          <w:sz w:val="27"/>
          <w:szCs w:val="27"/>
          <w:u w:val="single" w:color="000000"/>
          <w:lang w:val="en-US" w:eastAsia="zh-CN"/>
        </w:rPr>
        <w:t>15.77</w:t>
      </w:r>
      <w:r>
        <w:rPr>
          <w:rFonts w:ascii="仿宋_GB2312" w:hAnsi="仿宋_GB2312" w:eastAsia="仿宋_GB2312" w:cs="仿宋_GB2312"/>
          <w:color w:val="000000"/>
          <w:kern w:val="0"/>
          <w:sz w:val="27"/>
          <w:szCs w:val="27"/>
        </w:rPr>
        <w:t>万元，支出决算</w:t>
      </w:r>
      <w:r>
        <w:rPr>
          <w:rFonts w:hint="eastAsia" w:ascii="times_new_roman" w:hAnsi="times_new_roman" w:eastAsia="times_new_roman" w:cs="times_new_roman"/>
          <w:color w:val="000000"/>
          <w:kern w:val="0"/>
          <w:sz w:val="27"/>
          <w:szCs w:val="27"/>
          <w:u w:val="single" w:color="000000"/>
          <w:lang w:val="en-US" w:eastAsia="zh-CN"/>
        </w:rPr>
        <w:t>15.71</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99.62</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rPr>
        <w:t>2024年度按实际人员及社保基数支出产生差异。</w:t>
      </w:r>
    </w:p>
    <w:p w14:paraId="78F1E57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times_new_roman" w:hAnsi="times_new_roman" w:eastAsia="times_new_roman" w:cs="times_new_roman"/>
          <w:color w:val="000000"/>
          <w:kern w:val="0"/>
          <w:sz w:val="27"/>
          <w:szCs w:val="27"/>
        </w:rPr>
        <w:t>2．</w:t>
      </w:r>
      <w:r>
        <w:rPr>
          <w:rFonts w:ascii="仿宋_GB2312" w:hAnsi="仿宋_GB2312" w:eastAsia="仿宋_GB2312" w:cs="仿宋_GB2312"/>
          <w:color w:val="000000"/>
          <w:kern w:val="0"/>
          <w:sz w:val="27"/>
          <w:szCs w:val="27"/>
        </w:rPr>
        <w:t>行政事业单位医疗（款）事业单位医疗（项）。年初预算</w:t>
      </w:r>
      <w:r>
        <w:rPr>
          <w:rFonts w:hint="eastAsia" w:ascii="times_new_roman" w:hAnsi="times_new_roman" w:cs="times_new_roman"/>
          <w:color w:val="000000"/>
          <w:kern w:val="0"/>
          <w:sz w:val="27"/>
          <w:szCs w:val="27"/>
          <w:u w:val="single" w:color="000000"/>
          <w:lang w:val="en-US" w:eastAsia="zh-CN"/>
        </w:rPr>
        <w:t>8.46</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7.58</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89.60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rPr>
        <w:t>2024年度按实际人员及社保基数支出产生差异</w:t>
      </w:r>
      <w:r>
        <w:rPr>
          <w:rFonts w:ascii="仿宋_GB2312" w:hAnsi="仿宋_GB2312" w:eastAsia="仿宋_GB2312" w:cs="仿宋_GB2312"/>
          <w:color w:val="000000"/>
          <w:kern w:val="0"/>
          <w:sz w:val="27"/>
          <w:szCs w:val="27"/>
        </w:rPr>
        <w:t>。</w:t>
      </w:r>
    </w:p>
    <w:p w14:paraId="1E0D38C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kai_ti_gb2312" w:hAnsi="kai_ti_gb2312" w:eastAsia="kai_ti_gb2312" w:cs="kai_ti_gb2312"/>
          <w:b/>
          <w:bCs/>
          <w:color w:val="000000"/>
          <w:kern w:val="0"/>
          <w:sz w:val="27"/>
          <w:szCs w:val="27"/>
        </w:rPr>
        <w:t>  （五）住房保障支出（类）</w:t>
      </w:r>
    </w:p>
    <w:p w14:paraId="71109FC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住房保障支出（类）决算数为</w:t>
      </w:r>
      <w:r>
        <w:rPr>
          <w:rFonts w:ascii="times_new_roman" w:hAnsi="times_new_roman" w:eastAsia="times_new_roman" w:cs="times_new_roman"/>
          <w:color w:val="000000"/>
          <w:kern w:val="0"/>
          <w:sz w:val="27"/>
          <w:szCs w:val="27"/>
          <w:u w:val="single" w:color="000000"/>
        </w:rPr>
        <w:t> 43.54</w:t>
      </w:r>
      <w:r>
        <w:rPr>
          <w:rFonts w:ascii="仿宋_GB2312" w:hAnsi="仿宋_GB2312" w:eastAsia="仿宋_GB2312" w:cs="仿宋_GB2312"/>
          <w:color w:val="000000"/>
          <w:kern w:val="0"/>
          <w:sz w:val="27"/>
          <w:szCs w:val="27"/>
        </w:rPr>
        <w:t>万元，与年初预算相比增加</w:t>
      </w:r>
      <w:r>
        <w:rPr>
          <w:rFonts w:ascii="times_new_roman" w:hAnsi="times_new_roman" w:eastAsia="times_new_roman" w:cs="times_new_roman"/>
          <w:color w:val="000000"/>
          <w:kern w:val="0"/>
          <w:sz w:val="27"/>
          <w:szCs w:val="27"/>
          <w:u w:val="single" w:color="000000"/>
        </w:rPr>
        <w:t>1.57</w:t>
      </w:r>
      <w:r>
        <w:rPr>
          <w:rFonts w:ascii="仿宋_GB2312" w:hAnsi="仿宋_GB2312" w:eastAsia="仿宋_GB2312" w:cs="仿宋_GB2312"/>
          <w:color w:val="000000"/>
          <w:kern w:val="0"/>
          <w:sz w:val="27"/>
          <w:szCs w:val="27"/>
        </w:rPr>
        <w:t>万元。其中：</w:t>
      </w:r>
    </w:p>
    <w:p w14:paraId="592D674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住房改革支出（款）住房公积金（项）。年初预算</w:t>
      </w:r>
      <w:r>
        <w:rPr>
          <w:rFonts w:hint="eastAsia" w:ascii="times_new_roman" w:hAnsi="times_new_roman" w:cs="times_new_roman"/>
          <w:color w:val="000000"/>
          <w:kern w:val="0"/>
          <w:sz w:val="27"/>
          <w:szCs w:val="27"/>
          <w:u w:val="single" w:color="000000"/>
          <w:lang w:val="en-US" w:eastAsia="zh-CN"/>
        </w:rPr>
        <w:t>41.97</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43.54</w:t>
      </w:r>
      <w:r>
        <w:rPr>
          <w:rFonts w:ascii="仿宋_GB2312" w:hAnsi="仿宋_GB2312" w:eastAsia="仿宋_GB2312" w:cs="仿宋_GB2312"/>
          <w:color w:val="000000"/>
          <w:kern w:val="0"/>
          <w:sz w:val="27"/>
          <w:szCs w:val="27"/>
        </w:rPr>
        <w:t>万元，完成年初预算的</w:t>
      </w:r>
      <w:r>
        <w:rPr>
          <w:rFonts w:hint="eastAsia" w:ascii="仿宋_GB2312" w:hAnsi="仿宋_GB2312" w:eastAsia="仿宋_GB2312" w:cs="仿宋_GB2312"/>
          <w:color w:val="000000"/>
          <w:kern w:val="0"/>
          <w:sz w:val="27"/>
          <w:szCs w:val="27"/>
          <w:lang w:val="en-US" w:eastAsia="zh-CN"/>
        </w:rPr>
        <w:t>103.74</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rPr>
        <w:t>2024年度按实际人员及社保基数支出产生差异</w:t>
      </w:r>
      <w:r>
        <w:rPr>
          <w:rFonts w:ascii="仿宋_GB2312" w:hAnsi="仿宋_GB2312" w:eastAsia="仿宋_GB2312" w:cs="仿宋_GB2312"/>
          <w:color w:val="000000"/>
          <w:kern w:val="0"/>
          <w:sz w:val="27"/>
          <w:szCs w:val="27"/>
        </w:rPr>
        <w:t>。</w:t>
      </w:r>
    </w:p>
    <w:p w14:paraId="3277B5AB">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六、一般公共预算财政拨款基本支出决算情况说明</w:t>
      </w:r>
    </w:p>
    <w:p w14:paraId="0427F93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鄂尔多斯市科学技术协会部门2024年度一般公共预算财政拨款基本支出决算</w:t>
      </w:r>
      <w:r>
        <w:rPr>
          <w:rFonts w:ascii="times_new_roman" w:hAnsi="times_new_roman" w:eastAsia="times_new_roman" w:cs="times_new_roman"/>
          <w:color w:val="000000"/>
          <w:kern w:val="0"/>
          <w:sz w:val="27"/>
          <w:szCs w:val="27"/>
          <w:u w:val="single" w:color="000000"/>
        </w:rPr>
        <w:t> 613.78</w:t>
      </w:r>
      <w:r>
        <w:rPr>
          <w:rFonts w:ascii="仿宋_GB2312" w:hAnsi="仿宋_GB2312" w:eastAsia="仿宋_GB2312" w:cs="仿宋_GB2312"/>
          <w:color w:val="000000"/>
          <w:kern w:val="0"/>
          <w:sz w:val="27"/>
          <w:szCs w:val="27"/>
        </w:rPr>
        <w:t>万元，其中：</w:t>
      </w:r>
    </w:p>
    <w:p w14:paraId="3926539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（一）人员经费</w:t>
      </w:r>
      <w:r>
        <w:rPr>
          <w:rFonts w:ascii="times_new_roman" w:hAnsi="times_new_roman" w:eastAsia="times_new_roman" w:cs="times_new_roman"/>
          <w:color w:val="000000"/>
          <w:kern w:val="0"/>
          <w:sz w:val="27"/>
          <w:szCs w:val="27"/>
          <w:u w:val="single" w:color="000000"/>
        </w:rPr>
        <w:t> 494.49</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。主要包括：基本工资</w:t>
      </w:r>
      <w:r>
        <w:rPr>
          <w:rFonts w:hint="eastAsia" w:ascii="仿宋_GB2312" w:hAnsi="仿宋_GB2312" w:eastAsia="仿宋_GB2312" w:cs="仿宋_GB2312"/>
          <w:color w:val="000000"/>
          <w:kern w:val="0"/>
          <w:sz w:val="27"/>
          <w:szCs w:val="27"/>
          <w:u w:val="single"/>
          <w:lang w:val="en-US" w:eastAsia="zh-CN"/>
        </w:rPr>
        <w:t>127.41</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、津贴补贴</w:t>
      </w:r>
      <w:r>
        <w:rPr>
          <w:rFonts w:hint="eastAsia" w:ascii="仿宋_GB2312" w:hAnsi="仿宋_GB2312" w:eastAsia="仿宋_GB2312" w:cs="仿宋_GB2312"/>
          <w:color w:val="000000"/>
          <w:kern w:val="0"/>
          <w:sz w:val="27"/>
          <w:szCs w:val="27"/>
          <w:u w:val="single"/>
        </w:rPr>
        <w:t>172.3</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、奖金</w:t>
      </w:r>
      <w:r>
        <w:rPr>
          <w:rFonts w:hint="eastAsia" w:ascii="仿宋_GB2312" w:hAnsi="仿宋_GB2312" w:eastAsia="仿宋_GB2312" w:cs="仿宋_GB2312"/>
          <w:color w:val="000000"/>
          <w:kern w:val="0"/>
          <w:sz w:val="27"/>
          <w:szCs w:val="27"/>
          <w:u w:val="single"/>
        </w:rPr>
        <w:t>21.81</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、绩效工资</w:t>
      </w:r>
      <w:r>
        <w:rPr>
          <w:rFonts w:hint="eastAsia" w:ascii="仿宋_GB2312" w:hAnsi="仿宋_GB2312" w:eastAsia="仿宋_GB2312" w:cs="仿宋_GB2312"/>
          <w:color w:val="000000"/>
          <w:kern w:val="0"/>
          <w:sz w:val="27"/>
          <w:szCs w:val="27"/>
          <w:u w:val="single"/>
        </w:rPr>
        <w:t>17.83</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、机关事业单位基本养老保险缴费</w:t>
      </w:r>
      <w:r>
        <w:rPr>
          <w:rFonts w:hint="eastAsia" w:ascii="仿宋_GB2312" w:hAnsi="仿宋_GB2312" w:eastAsia="仿宋_GB2312" w:cs="仿宋_GB2312"/>
          <w:color w:val="000000"/>
          <w:kern w:val="0"/>
          <w:sz w:val="27"/>
          <w:szCs w:val="27"/>
          <w:u w:val="single"/>
        </w:rPr>
        <w:t>43.36</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、职业年金缴费</w:t>
      </w:r>
      <w:r>
        <w:rPr>
          <w:rFonts w:hint="eastAsia" w:ascii="仿宋_GB2312" w:hAnsi="仿宋_GB2312" w:eastAsia="仿宋_GB2312" w:cs="仿宋_GB2312"/>
          <w:color w:val="000000"/>
          <w:kern w:val="0"/>
          <w:sz w:val="27"/>
          <w:szCs w:val="27"/>
          <w:u w:val="single"/>
        </w:rPr>
        <w:t>4.88</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、职工基本医疗保险缴费</w:t>
      </w:r>
      <w:r>
        <w:rPr>
          <w:rFonts w:hint="eastAsia" w:ascii="仿宋_GB2312" w:hAnsi="仿宋_GB2312" w:eastAsia="仿宋_GB2312" w:cs="仿宋_GB2312"/>
          <w:color w:val="000000"/>
          <w:kern w:val="0"/>
          <w:sz w:val="27"/>
          <w:szCs w:val="27"/>
          <w:u w:val="single"/>
        </w:rPr>
        <w:t>17.33</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、公务员医疗补助缴费</w:t>
      </w:r>
      <w:r>
        <w:rPr>
          <w:rFonts w:hint="eastAsia" w:ascii="仿宋_GB2312" w:hAnsi="仿宋_GB2312" w:eastAsia="仿宋_GB2312" w:cs="仿宋_GB2312"/>
          <w:color w:val="000000"/>
          <w:kern w:val="0"/>
          <w:sz w:val="27"/>
          <w:szCs w:val="27"/>
          <w:u w:val="single"/>
        </w:rPr>
        <w:t>5.96</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其他社会保障缴费</w:t>
      </w:r>
      <w:r>
        <w:rPr>
          <w:rFonts w:hint="eastAsia" w:ascii="仿宋_GB2312" w:hAnsi="仿宋_GB2312" w:eastAsia="仿宋_GB2312" w:cs="仿宋_GB2312"/>
          <w:color w:val="000000"/>
          <w:kern w:val="0"/>
          <w:sz w:val="27"/>
          <w:szCs w:val="27"/>
          <w:u w:val="single"/>
        </w:rPr>
        <w:t>4.55</w:t>
      </w:r>
      <w:r>
        <w:rPr>
          <w:rFonts w:hint="eastAsia"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lang w:eastAsia="zh-CN"/>
        </w:rPr>
        <w:t>、</w:t>
      </w:r>
      <w:r>
        <w:rPr>
          <w:rFonts w:ascii="仿宋_GB2312" w:hAnsi="仿宋_GB2312" w:eastAsia="仿宋_GB2312" w:cs="仿宋_GB2312"/>
          <w:color w:val="000000"/>
          <w:kern w:val="0"/>
          <w:sz w:val="27"/>
          <w:szCs w:val="27"/>
        </w:rPr>
        <w:t>住房公积金</w:t>
      </w:r>
      <w:r>
        <w:rPr>
          <w:rFonts w:hint="eastAsia" w:ascii="仿宋_GB2312" w:hAnsi="仿宋_GB2312" w:eastAsia="仿宋_GB2312" w:cs="仿宋_GB2312"/>
          <w:color w:val="000000"/>
          <w:kern w:val="0"/>
          <w:sz w:val="27"/>
          <w:szCs w:val="27"/>
          <w:u w:val="single"/>
          <w:lang w:val="en-US" w:eastAsia="zh-CN"/>
        </w:rPr>
        <w:t>43.54</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、退休费</w:t>
      </w:r>
      <w:r>
        <w:rPr>
          <w:rFonts w:hint="eastAsia" w:ascii="仿宋_GB2312" w:hAnsi="仿宋_GB2312" w:eastAsia="仿宋_GB2312" w:cs="仿宋_GB2312"/>
          <w:color w:val="000000"/>
          <w:kern w:val="0"/>
          <w:sz w:val="27"/>
          <w:szCs w:val="27"/>
          <w:u w:val="single"/>
        </w:rPr>
        <w:t>35.52</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等。</w:t>
      </w:r>
    </w:p>
    <w:p w14:paraId="1E831EE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（二）公用经费</w:t>
      </w:r>
      <w:r>
        <w:rPr>
          <w:rFonts w:ascii="times_new_roman" w:hAnsi="times_new_roman" w:eastAsia="times_new_roman" w:cs="times_new_roman"/>
          <w:color w:val="000000"/>
          <w:kern w:val="0"/>
          <w:sz w:val="27"/>
          <w:szCs w:val="27"/>
          <w:u w:val="single" w:color="000000"/>
        </w:rPr>
        <w:t> 119.</w:t>
      </w:r>
      <w:r>
        <w:rPr>
          <w:rFonts w:hint="eastAsia" w:ascii="times_new_roman" w:hAnsi="times_new_roman" w:cs="times_new_roman"/>
          <w:color w:val="000000"/>
          <w:kern w:val="0"/>
          <w:sz w:val="27"/>
          <w:szCs w:val="27"/>
          <w:u w:val="single" w:color="000000"/>
          <w:lang w:val="en-US" w:eastAsia="zh-CN"/>
        </w:rPr>
        <w:t>7</w:t>
      </w:r>
      <w:r>
        <w:rPr>
          <w:rFonts w:ascii="times_new_roman" w:hAnsi="times_new_roman" w:eastAsia="times_new_roman" w:cs="times_new_roman"/>
          <w:color w:val="000000"/>
          <w:kern w:val="0"/>
          <w:sz w:val="27"/>
          <w:szCs w:val="27"/>
          <w:u w:val="single" w:color="000000"/>
        </w:rPr>
        <w:t>9</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。主要包括：办公费</w:t>
      </w:r>
      <w:r>
        <w:rPr>
          <w:rFonts w:hint="eastAsia" w:ascii="仿宋_GB2312" w:hAnsi="仿宋_GB2312" w:eastAsia="仿宋_GB2312" w:cs="仿宋_GB2312"/>
          <w:color w:val="000000"/>
          <w:kern w:val="0"/>
          <w:sz w:val="27"/>
          <w:szCs w:val="27"/>
          <w:u w:val="single"/>
        </w:rPr>
        <w:t>0.97</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、印刷费</w:t>
      </w:r>
      <w:r>
        <w:rPr>
          <w:rFonts w:hint="eastAsia" w:ascii="仿宋_GB2312" w:hAnsi="仿宋_GB2312" w:eastAsia="仿宋_GB2312" w:cs="仿宋_GB2312"/>
          <w:color w:val="000000"/>
          <w:kern w:val="0"/>
          <w:sz w:val="27"/>
          <w:szCs w:val="27"/>
          <w:u w:val="single"/>
        </w:rPr>
        <w:t>1.38</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u w:val="single"/>
        </w:rPr>
        <w:t>1.02</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、取暖费</w:t>
      </w:r>
      <w:r>
        <w:rPr>
          <w:rFonts w:hint="eastAsia" w:ascii="仿宋_GB2312" w:hAnsi="仿宋_GB2312" w:eastAsia="仿宋_GB2312" w:cs="仿宋_GB2312"/>
          <w:color w:val="000000"/>
          <w:kern w:val="0"/>
          <w:sz w:val="27"/>
          <w:szCs w:val="27"/>
          <w:u w:val="single"/>
        </w:rPr>
        <w:t>12.44</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、物业管理费</w:t>
      </w:r>
      <w:r>
        <w:rPr>
          <w:rFonts w:hint="eastAsia" w:ascii="仿宋_GB2312" w:hAnsi="仿宋_GB2312" w:eastAsia="仿宋_GB2312" w:cs="仿宋_GB2312"/>
          <w:color w:val="000000"/>
          <w:kern w:val="0"/>
          <w:sz w:val="27"/>
          <w:szCs w:val="27"/>
          <w:u w:val="single"/>
        </w:rPr>
        <w:t>44.46</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u w:val="single"/>
        </w:rPr>
        <w:t>0.5</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因公出国（境）费用</w:t>
      </w:r>
      <w:r>
        <w:rPr>
          <w:rFonts w:hint="eastAsia" w:ascii="仿宋_GB2312" w:hAnsi="仿宋_GB2312" w:eastAsia="仿宋_GB2312" w:cs="仿宋_GB2312"/>
          <w:color w:val="000000"/>
          <w:kern w:val="0"/>
          <w:sz w:val="27"/>
          <w:szCs w:val="27"/>
          <w:u w:val="single"/>
        </w:rPr>
        <w:t>5.78</w:t>
      </w:r>
      <w:r>
        <w:rPr>
          <w:rFonts w:hint="eastAsia"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lang w:eastAsia="zh-CN"/>
        </w:rPr>
        <w:t>、</w:t>
      </w:r>
      <w:r>
        <w:rPr>
          <w:rFonts w:ascii="仿宋_GB2312" w:hAnsi="仿宋_GB2312" w:eastAsia="仿宋_GB2312" w:cs="仿宋_GB2312"/>
          <w:color w:val="000000"/>
          <w:kern w:val="0"/>
          <w:sz w:val="27"/>
          <w:szCs w:val="27"/>
        </w:rPr>
        <w:t>委托业务费</w:t>
      </w:r>
      <w:r>
        <w:rPr>
          <w:rFonts w:hint="eastAsia" w:ascii="仿宋_GB2312" w:hAnsi="仿宋_GB2312" w:eastAsia="仿宋_GB2312" w:cs="仿宋_GB2312"/>
          <w:color w:val="000000"/>
          <w:kern w:val="0"/>
          <w:sz w:val="27"/>
          <w:szCs w:val="27"/>
          <w:u w:val="single"/>
        </w:rPr>
        <w:t>0.98</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、工会经费</w:t>
      </w:r>
      <w:r>
        <w:rPr>
          <w:rFonts w:hint="eastAsia" w:ascii="仿宋_GB2312" w:hAnsi="仿宋_GB2312" w:eastAsia="仿宋_GB2312" w:cs="仿宋_GB2312"/>
          <w:color w:val="000000"/>
          <w:kern w:val="0"/>
          <w:sz w:val="27"/>
          <w:szCs w:val="27"/>
          <w:u w:val="single"/>
        </w:rPr>
        <w:t>4.15</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、福利费</w:t>
      </w:r>
      <w:r>
        <w:rPr>
          <w:rFonts w:hint="eastAsia" w:ascii="仿宋_GB2312" w:hAnsi="仿宋_GB2312" w:eastAsia="仿宋_GB2312" w:cs="仿宋_GB2312"/>
          <w:color w:val="000000"/>
          <w:kern w:val="0"/>
          <w:sz w:val="27"/>
          <w:szCs w:val="27"/>
          <w:u w:val="single"/>
        </w:rPr>
        <w:t>8.65</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、公务用车运行维护费</w:t>
      </w:r>
      <w:r>
        <w:rPr>
          <w:rFonts w:hint="eastAsia" w:ascii="仿宋_GB2312" w:hAnsi="仿宋_GB2312" w:eastAsia="仿宋_GB2312" w:cs="仿宋_GB2312"/>
          <w:color w:val="000000"/>
          <w:kern w:val="0"/>
          <w:sz w:val="27"/>
          <w:szCs w:val="27"/>
          <w:u w:val="single"/>
        </w:rPr>
        <w:t>2.38</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、其他交通费用</w:t>
      </w:r>
      <w:r>
        <w:rPr>
          <w:rFonts w:hint="eastAsia" w:ascii="仿宋_GB2312" w:hAnsi="仿宋_GB2312" w:eastAsia="仿宋_GB2312" w:cs="仿宋_GB2312"/>
          <w:color w:val="000000"/>
          <w:kern w:val="0"/>
          <w:sz w:val="27"/>
          <w:szCs w:val="27"/>
          <w:u w:val="single"/>
        </w:rPr>
        <w:t>33.88</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、其他商品和服务支出</w:t>
      </w:r>
      <w:r>
        <w:rPr>
          <w:rFonts w:hint="eastAsia" w:ascii="仿宋_GB2312" w:hAnsi="仿宋_GB2312" w:eastAsia="仿宋_GB2312" w:cs="仿宋_GB2312"/>
          <w:color w:val="000000"/>
          <w:kern w:val="0"/>
          <w:sz w:val="27"/>
          <w:szCs w:val="27"/>
          <w:u w:val="single"/>
        </w:rPr>
        <w:t>1.2</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等。</w:t>
      </w:r>
    </w:p>
    <w:p w14:paraId="548539C2">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七、一般公共预算财政拨款项目支出决算情况说明</w:t>
      </w:r>
    </w:p>
    <w:p w14:paraId="0CCE9B4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986.73</w:t>
      </w:r>
      <w:r>
        <w:rPr>
          <w:rFonts w:ascii="仿宋_GB2312" w:hAnsi="仿宋_GB2312" w:eastAsia="仿宋_GB2312" w:cs="仿宋_GB2312"/>
          <w:color w:val="000000"/>
          <w:kern w:val="0"/>
          <w:sz w:val="27"/>
          <w:szCs w:val="27"/>
        </w:rPr>
        <w:t>万元，其中：</w:t>
      </w:r>
    </w:p>
    <w:p w14:paraId="27CD387B">
      <w:pPr>
        <w:keepNext w:val="0"/>
        <w:keepLines w:val="0"/>
        <w:pageBreakBefore w:val="0"/>
        <w:widowControl/>
        <w:numPr>
          <w:ilvl w:val="0"/>
          <w:numId w:val="0"/>
        </w:numPr>
        <w:kinsoku/>
        <w:wordWrap/>
        <w:overflowPunct/>
        <w:topLinePunct w:val="0"/>
        <w:autoSpaceDE/>
        <w:autoSpaceDN/>
        <w:bidi w:val="0"/>
        <w:adjustRightInd/>
        <w:snapToGrid/>
        <w:spacing w:before="240" w:after="240"/>
        <w:ind w:left="0" w:leftChars="0" w:firstLine="271" w:firstLineChars="100"/>
        <w:textAlignment w:val="auto"/>
        <w:rPr>
          <w:rFonts w:ascii="仿宋_GB2312" w:hAnsi="仿宋_GB2312" w:eastAsia="仿宋_GB2312" w:cs="仿宋_GB2312"/>
          <w:color w:val="000000"/>
          <w:kern w:val="0"/>
          <w:sz w:val="27"/>
          <w:szCs w:val="27"/>
        </w:rPr>
      </w:pPr>
      <w:r>
        <w:rPr>
          <w:rFonts w:hint="eastAsia" w:ascii="仿宋_GB2312" w:hAnsi="仿宋_GB2312" w:eastAsia="仿宋_GB2312" w:cs="仿宋_GB2312"/>
          <w:b/>
          <w:bCs/>
          <w:color w:val="000000"/>
          <w:kern w:val="0"/>
          <w:sz w:val="27"/>
          <w:szCs w:val="27"/>
          <w:lang w:val="en-US" w:eastAsia="zh-CN"/>
        </w:rPr>
        <w:t>（一）</w:t>
      </w:r>
      <w:r>
        <w:rPr>
          <w:rFonts w:ascii="仿宋_GB2312" w:hAnsi="仿宋_GB2312" w:eastAsia="仿宋_GB2312" w:cs="仿宋_GB2312"/>
          <w:b/>
          <w:bCs/>
          <w:color w:val="000000"/>
          <w:kern w:val="0"/>
          <w:sz w:val="27"/>
          <w:szCs w:val="27"/>
        </w:rPr>
        <w:t>商品和服务支出</w:t>
      </w:r>
      <w:r>
        <w:rPr>
          <w:rFonts w:eastAsia="Times New Roman"/>
          <w:b/>
          <w:bCs/>
          <w:color w:val="000000"/>
          <w:kern w:val="0"/>
          <w:sz w:val="27"/>
          <w:szCs w:val="27"/>
          <w:u w:val="single" w:color="000000"/>
        </w:rPr>
        <w:t>917.93</w:t>
      </w:r>
      <w:r>
        <w:rPr>
          <w:rFonts w:ascii="仿宋_GB2312" w:hAnsi="仿宋_GB2312" w:eastAsia="仿宋_GB2312" w:cs="仿宋_GB2312"/>
          <w:color w:val="000000"/>
          <w:kern w:val="0"/>
          <w:sz w:val="27"/>
          <w:szCs w:val="27"/>
        </w:rPr>
        <w:t>万元。主要包括：办公费</w:t>
      </w:r>
      <w:r>
        <w:rPr>
          <w:rFonts w:hint="eastAsia" w:ascii="仿宋_GB2312" w:hAnsi="仿宋_GB2312" w:eastAsia="仿宋_GB2312" w:cs="仿宋_GB2312"/>
          <w:color w:val="000000"/>
          <w:kern w:val="0"/>
          <w:sz w:val="27"/>
          <w:szCs w:val="27"/>
          <w:u w:val="single"/>
        </w:rPr>
        <w:t>11.23</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、印刷费</w:t>
      </w:r>
      <w:r>
        <w:rPr>
          <w:rFonts w:hint="eastAsia" w:ascii="仿宋_GB2312" w:hAnsi="仿宋_GB2312" w:eastAsia="仿宋_GB2312" w:cs="仿宋_GB2312"/>
          <w:color w:val="000000"/>
          <w:kern w:val="0"/>
          <w:sz w:val="27"/>
          <w:szCs w:val="27"/>
          <w:u w:val="single"/>
        </w:rPr>
        <w:t>19.33</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、咨询费</w:t>
      </w:r>
      <w:r>
        <w:rPr>
          <w:rFonts w:hint="eastAsia" w:ascii="仿宋_GB2312" w:hAnsi="仿宋_GB2312" w:eastAsia="仿宋_GB2312" w:cs="仿宋_GB2312"/>
          <w:color w:val="000000"/>
          <w:kern w:val="0"/>
          <w:sz w:val="27"/>
          <w:szCs w:val="27"/>
          <w:u w:val="single"/>
        </w:rPr>
        <w:t>1</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、水费</w:t>
      </w:r>
      <w:r>
        <w:rPr>
          <w:rFonts w:hint="eastAsia" w:ascii="仿宋_GB2312" w:hAnsi="仿宋_GB2312" w:eastAsia="仿宋_GB2312" w:cs="仿宋_GB2312"/>
          <w:color w:val="000000"/>
          <w:kern w:val="0"/>
          <w:sz w:val="27"/>
          <w:szCs w:val="27"/>
          <w:u w:val="single"/>
        </w:rPr>
        <w:t>0.81</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、电费</w:t>
      </w:r>
      <w:r>
        <w:rPr>
          <w:rFonts w:hint="eastAsia" w:ascii="仿宋_GB2312" w:hAnsi="仿宋_GB2312" w:eastAsia="仿宋_GB2312" w:cs="仿宋_GB2312"/>
          <w:color w:val="000000"/>
          <w:kern w:val="0"/>
          <w:sz w:val="27"/>
          <w:szCs w:val="27"/>
          <w:u w:val="single"/>
        </w:rPr>
        <w:t>3.45</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u w:val="single"/>
        </w:rPr>
        <w:t>0.06</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u w:val="single"/>
        </w:rPr>
        <w:t>41.46</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、维修（护）费</w:t>
      </w:r>
      <w:r>
        <w:rPr>
          <w:rFonts w:hint="eastAsia" w:ascii="仿宋_GB2312" w:hAnsi="仿宋_GB2312" w:eastAsia="仿宋_GB2312" w:cs="仿宋_GB2312"/>
          <w:color w:val="000000"/>
          <w:kern w:val="0"/>
          <w:sz w:val="27"/>
          <w:szCs w:val="27"/>
          <w:u w:val="single"/>
        </w:rPr>
        <w:t>11.09</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、会议费</w:t>
      </w:r>
      <w:r>
        <w:rPr>
          <w:rFonts w:hint="eastAsia" w:ascii="仿宋_GB2312" w:hAnsi="仿宋_GB2312" w:eastAsia="仿宋_GB2312" w:cs="仿宋_GB2312"/>
          <w:color w:val="000000"/>
          <w:kern w:val="0"/>
          <w:sz w:val="27"/>
          <w:szCs w:val="27"/>
          <w:u w:val="single"/>
        </w:rPr>
        <w:t>18.41</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、培训费</w:t>
      </w:r>
      <w:r>
        <w:rPr>
          <w:rFonts w:hint="eastAsia" w:ascii="仿宋_GB2312" w:hAnsi="仿宋_GB2312" w:eastAsia="仿宋_GB2312" w:cs="仿宋_GB2312"/>
          <w:color w:val="000000"/>
          <w:kern w:val="0"/>
          <w:sz w:val="27"/>
          <w:szCs w:val="27"/>
          <w:u w:val="single"/>
        </w:rPr>
        <w:t>69.27</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、劳务费</w:t>
      </w:r>
      <w:r>
        <w:rPr>
          <w:rFonts w:hint="eastAsia" w:ascii="仿宋_GB2312" w:hAnsi="仿宋_GB2312" w:eastAsia="仿宋_GB2312" w:cs="仿宋_GB2312"/>
          <w:color w:val="000000"/>
          <w:kern w:val="0"/>
          <w:sz w:val="27"/>
          <w:szCs w:val="27"/>
          <w:u w:val="single"/>
        </w:rPr>
        <w:t>44.23</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、委托业务费</w:t>
      </w:r>
      <w:r>
        <w:rPr>
          <w:rFonts w:hint="eastAsia" w:ascii="仿宋_GB2312" w:hAnsi="仿宋_GB2312" w:eastAsia="仿宋_GB2312" w:cs="仿宋_GB2312"/>
          <w:color w:val="000000"/>
          <w:kern w:val="0"/>
          <w:sz w:val="27"/>
          <w:szCs w:val="27"/>
          <w:u w:val="single"/>
        </w:rPr>
        <w:t>379.03</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、公务用车运行维护费</w:t>
      </w:r>
      <w:r>
        <w:rPr>
          <w:rFonts w:hint="eastAsia" w:ascii="仿宋_GB2312" w:hAnsi="仿宋_GB2312" w:eastAsia="仿宋_GB2312" w:cs="仿宋_GB2312"/>
          <w:color w:val="000000"/>
          <w:kern w:val="0"/>
          <w:sz w:val="27"/>
          <w:szCs w:val="27"/>
          <w:u w:val="single"/>
        </w:rPr>
        <w:t>10.1</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、其他交通费用</w:t>
      </w:r>
      <w:r>
        <w:rPr>
          <w:rFonts w:hint="eastAsia" w:ascii="仿宋_GB2312" w:hAnsi="仿宋_GB2312" w:eastAsia="仿宋_GB2312" w:cs="仿宋_GB2312"/>
          <w:color w:val="000000"/>
          <w:kern w:val="0"/>
          <w:sz w:val="27"/>
          <w:szCs w:val="27"/>
          <w:u w:val="single"/>
        </w:rPr>
        <w:t>3.98</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、其他商品和服务支出</w:t>
      </w:r>
      <w:r>
        <w:rPr>
          <w:rFonts w:hint="eastAsia" w:ascii="仿宋_GB2312" w:hAnsi="仿宋_GB2312" w:eastAsia="仿宋_GB2312" w:cs="仿宋_GB2312"/>
          <w:color w:val="000000"/>
          <w:kern w:val="0"/>
          <w:sz w:val="27"/>
          <w:szCs w:val="27"/>
          <w:u w:val="single"/>
        </w:rPr>
        <w:t>304.48</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等。</w:t>
      </w:r>
    </w:p>
    <w:p w14:paraId="4302C591">
      <w:pPr>
        <w:keepNext w:val="0"/>
        <w:keepLines w:val="0"/>
        <w:pageBreakBefore w:val="0"/>
        <w:widowControl/>
        <w:numPr>
          <w:ilvl w:val="0"/>
          <w:numId w:val="0"/>
        </w:numPr>
        <w:kinsoku/>
        <w:wordWrap/>
        <w:overflowPunct/>
        <w:topLinePunct w:val="0"/>
        <w:autoSpaceDE/>
        <w:autoSpaceDN/>
        <w:bidi w:val="0"/>
        <w:adjustRightInd/>
        <w:snapToGrid/>
        <w:spacing w:before="240" w:after="240"/>
        <w:ind w:left="0" w:leftChars="0" w:firstLine="271" w:firstLineChars="100"/>
        <w:textAlignment w:val="auto"/>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b/>
          <w:bCs/>
          <w:color w:val="000000"/>
          <w:kern w:val="0"/>
          <w:sz w:val="27"/>
          <w:szCs w:val="27"/>
          <w:lang w:val="en-US" w:eastAsia="zh-CN"/>
        </w:rPr>
        <w:t>（二）</w:t>
      </w:r>
      <w:r>
        <w:rPr>
          <w:rFonts w:hint="eastAsia" w:ascii="仿宋_GB2312" w:hAnsi="仿宋_GB2312" w:eastAsia="仿宋_GB2312" w:cs="仿宋_GB2312"/>
          <w:b/>
          <w:bCs/>
          <w:color w:val="000000"/>
          <w:kern w:val="0"/>
          <w:sz w:val="27"/>
          <w:szCs w:val="27"/>
        </w:rPr>
        <w:t>对个人和家庭的补助</w:t>
      </w:r>
      <w:r>
        <w:rPr>
          <w:rFonts w:hint="eastAsia" w:eastAsia="Times New Roman"/>
          <w:b/>
          <w:bCs/>
          <w:color w:val="000000"/>
          <w:kern w:val="0"/>
          <w:sz w:val="27"/>
          <w:szCs w:val="27"/>
          <w:u w:val="single" w:color="000000"/>
          <w:lang w:val="en-US" w:eastAsia="zh-CN"/>
        </w:rPr>
        <w:t>0.28</w:t>
      </w:r>
      <w:r>
        <w:rPr>
          <w:rFonts w:hint="eastAsia" w:ascii="仿宋_GB2312" w:hAnsi="仿宋_GB2312" w:eastAsia="仿宋_GB2312" w:cs="仿宋_GB2312"/>
          <w:color w:val="000000"/>
          <w:kern w:val="0"/>
          <w:sz w:val="27"/>
          <w:szCs w:val="27"/>
          <w:lang w:val="en-US" w:eastAsia="zh-CN"/>
        </w:rPr>
        <w:t>万元。主要包括：其他对个人和家庭的补助</w:t>
      </w:r>
      <w:r>
        <w:rPr>
          <w:rFonts w:hint="eastAsia" w:ascii="仿宋_GB2312" w:hAnsi="仿宋_GB2312" w:eastAsia="仿宋_GB2312" w:cs="仿宋_GB2312"/>
          <w:color w:val="000000"/>
          <w:kern w:val="0"/>
          <w:sz w:val="27"/>
          <w:szCs w:val="27"/>
          <w:u w:val="single"/>
          <w:lang w:val="en-US" w:eastAsia="zh-CN"/>
        </w:rPr>
        <w:t>0.28</w:t>
      </w:r>
      <w:r>
        <w:rPr>
          <w:rFonts w:hint="eastAsia" w:ascii="仿宋_GB2312" w:hAnsi="仿宋_GB2312" w:eastAsia="仿宋_GB2312" w:cs="仿宋_GB2312"/>
          <w:color w:val="000000"/>
          <w:kern w:val="0"/>
          <w:sz w:val="27"/>
          <w:szCs w:val="27"/>
          <w:lang w:val="en-US" w:eastAsia="zh-CN"/>
        </w:rPr>
        <w:t>万元。</w:t>
      </w:r>
    </w:p>
    <w:p w14:paraId="404E23D9">
      <w:pPr>
        <w:keepNext w:val="0"/>
        <w:keepLines w:val="0"/>
        <w:pageBreakBefore w:val="0"/>
        <w:widowControl/>
        <w:numPr>
          <w:ilvl w:val="0"/>
          <w:numId w:val="0"/>
        </w:numPr>
        <w:kinsoku/>
        <w:wordWrap/>
        <w:overflowPunct/>
        <w:topLinePunct w:val="0"/>
        <w:autoSpaceDE/>
        <w:autoSpaceDN/>
        <w:bidi w:val="0"/>
        <w:adjustRightInd/>
        <w:snapToGrid/>
        <w:spacing w:before="240" w:after="240"/>
        <w:ind w:left="0" w:leftChars="0" w:firstLine="271" w:firstLineChars="100"/>
        <w:textAlignment w:val="auto"/>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w:t>
      </w:r>
      <w:r>
        <w:rPr>
          <w:rFonts w:hint="eastAsia" w:ascii="仿宋_GB2312" w:hAnsi="仿宋_GB2312" w:eastAsia="仿宋_GB2312" w:cs="仿宋_GB2312"/>
          <w:b/>
          <w:bCs/>
          <w:color w:val="000000"/>
          <w:kern w:val="0"/>
          <w:sz w:val="27"/>
          <w:szCs w:val="27"/>
          <w:lang w:val="en-US" w:eastAsia="zh-CN"/>
        </w:rPr>
        <w:t>三</w:t>
      </w:r>
      <w:r>
        <w:rPr>
          <w:rFonts w:ascii="仿宋_GB2312" w:hAnsi="仿宋_GB2312" w:eastAsia="仿宋_GB2312" w:cs="仿宋_GB2312"/>
          <w:b/>
          <w:bCs/>
          <w:color w:val="000000"/>
          <w:kern w:val="0"/>
          <w:sz w:val="27"/>
          <w:szCs w:val="27"/>
        </w:rPr>
        <w:t>）资本性支出</w:t>
      </w:r>
      <w:r>
        <w:rPr>
          <w:rFonts w:eastAsia="Times New Roman"/>
          <w:b/>
          <w:bCs/>
          <w:color w:val="000000"/>
          <w:kern w:val="0"/>
          <w:sz w:val="27"/>
          <w:szCs w:val="27"/>
          <w:u w:val="single" w:color="000000"/>
        </w:rPr>
        <w:t>68.53</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主要包括：办公设备购置</w:t>
      </w:r>
      <w:r>
        <w:rPr>
          <w:rFonts w:hint="eastAsia" w:ascii="仿宋_GB2312" w:hAnsi="仿宋_GB2312" w:eastAsia="仿宋_GB2312" w:cs="仿宋_GB2312"/>
          <w:color w:val="000000"/>
          <w:kern w:val="0"/>
          <w:sz w:val="27"/>
          <w:szCs w:val="27"/>
          <w:u w:val="single"/>
        </w:rPr>
        <w:t>5.6</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、专用设备购置</w:t>
      </w:r>
      <w:r>
        <w:rPr>
          <w:rFonts w:hint="eastAsia" w:ascii="仿宋_GB2312" w:hAnsi="仿宋_GB2312" w:eastAsia="仿宋_GB2312" w:cs="仿宋_GB2312"/>
          <w:color w:val="000000"/>
          <w:kern w:val="0"/>
          <w:sz w:val="27"/>
          <w:szCs w:val="27"/>
          <w:u w:val="single"/>
        </w:rPr>
        <w:t>62.93</w:t>
      </w:r>
      <w:r>
        <w:rPr>
          <w:rFonts w:hint="eastAsia" w:ascii="仿宋_GB2312" w:hAnsi="仿宋_GB2312" w:eastAsia="仿宋_GB2312" w:cs="仿宋_GB2312"/>
          <w:color w:val="000000"/>
          <w:kern w:val="0"/>
          <w:sz w:val="27"/>
          <w:szCs w:val="27"/>
        </w:rPr>
        <w:t>万元</w:t>
      </w:r>
      <w:r>
        <w:rPr>
          <w:rFonts w:ascii="仿宋_GB2312" w:hAnsi="仿宋_GB2312" w:eastAsia="仿宋_GB2312" w:cs="仿宋_GB2312"/>
          <w:color w:val="000000"/>
          <w:kern w:val="0"/>
          <w:sz w:val="27"/>
          <w:szCs w:val="27"/>
        </w:rPr>
        <w:t>等。</w:t>
      </w:r>
    </w:p>
    <w:p w14:paraId="23B73CCA">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八、财政拨款“三公”经费支出决算情况说明</w:t>
      </w:r>
    </w:p>
    <w:p w14:paraId="7A81155D">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14:paraId="7A7F1D90">
      <w:pPr>
        <w:keepNext w:val="0"/>
        <w:keepLines w:val="0"/>
        <w:pageBreakBefore w:val="0"/>
        <w:widowControl/>
        <w:kinsoku/>
        <w:wordWrap/>
        <w:overflowPunct/>
        <w:topLinePunct w:val="0"/>
        <w:autoSpaceDE/>
        <w:autoSpaceDN/>
        <w:bidi w:val="0"/>
        <w:adjustRightInd/>
        <w:snapToGrid/>
        <w:spacing w:before="240" w:after="240" w:line="360" w:lineRule="auto"/>
        <w:textAlignment w:val="auto"/>
        <w:rPr>
          <w:rFonts w:hint="eastAsia"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年度财政拨款“三公”经费全年预算</w:t>
      </w:r>
      <w:r>
        <w:rPr>
          <w:rFonts w:eastAsia="Times New Roman"/>
          <w:color w:val="000000"/>
          <w:kern w:val="0"/>
          <w:sz w:val="27"/>
          <w:szCs w:val="27"/>
          <w:u w:val="single" w:color="000000"/>
        </w:rPr>
        <w:t>28.67</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18.25</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63.66</w:t>
      </w:r>
      <w:r>
        <w:rPr>
          <w:rFonts w:ascii="仿宋_GB2312" w:hAnsi="仿宋_GB2312" w:eastAsia="仿宋_GB2312" w:cs="仿宋_GB2312"/>
          <w:color w:val="000000"/>
          <w:kern w:val="0"/>
          <w:sz w:val="27"/>
          <w:szCs w:val="27"/>
        </w:rPr>
        <w:t>%。其中：因公出国（境）费全年预算</w:t>
      </w:r>
      <w:r>
        <w:rPr>
          <w:rFonts w:eastAsia="Times New Roman"/>
          <w:color w:val="000000"/>
          <w:kern w:val="0"/>
          <w:sz w:val="27"/>
          <w:szCs w:val="27"/>
          <w:u w:val="single" w:color="000000"/>
        </w:rPr>
        <w:t>5.78</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5.78</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100.00</w:t>
      </w:r>
      <w:r>
        <w:rPr>
          <w:rFonts w:ascii="仿宋_GB2312" w:hAnsi="仿宋_GB2312" w:eastAsia="仿宋_GB2312" w:cs="仿宋_GB2312"/>
          <w:color w:val="000000"/>
          <w:kern w:val="0"/>
          <w:sz w:val="27"/>
          <w:szCs w:val="27"/>
        </w:rPr>
        <w:t>%；公务用车购置及运行维护费全年预算</w:t>
      </w:r>
      <w:r>
        <w:rPr>
          <w:rFonts w:eastAsia="Times New Roman"/>
          <w:color w:val="000000"/>
          <w:kern w:val="0"/>
          <w:sz w:val="27"/>
          <w:szCs w:val="27"/>
          <w:u w:val="single" w:color="000000"/>
        </w:rPr>
        <w:t>22.90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12.48</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54.49</w:t>
      </w:r>
      <w:r>
        <w:rPr>
          <w:rFonts w:ascii="仿宋_GB2312" w:hAnsi="仿宋_GB2312" w:eastAsia="仿宋_GB2312" w:cs="仿宋_GB2312"/>
          <w:color w:val="000000"/>
          <w:kern w:val="0"/>
          <w:sz w:val="27"/>
          <w:szCs w:val="27"/>
        </w:rPr>
        <w:t>%；公务接待费全年预算</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28.67</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18.25</w:t>
      </w:r>
      <w:r>
        <w:rPr>
          <w:rFonts w:ascii="仿宋_GB2312" w:hAnsi="仿宋_GB2312" w:eastAsia="仿宋_GB2312" w:cs="仿宋_GB2312"/>
          <w:color w:val="000000"/>
          <w:kern w:val="0"/>
          <w:sz w:val="27"/>
          <w:szCs w:val="27"/>
        </w:rPr>
        <w:t>万元，与预算差异原因</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2024年压缩公务公车购置及运行维护费支出，节约了公务公车购置及运行维护费支出</w:t>
      </w:r>
      <w:r>
        <w:rPr>
          <w:rFonts w:hint="eastAsia" w:ascii="仿宋_GB2312" w:hAnsi="仿宋_GB2312" w:eastAsia="仿宋_GB2312" w:cs="仿宋_GB2312"/>
          <w:color w:val="000000"/>
          <w:kern w:val="0"/>
          <w:sz w:val="27"/>
          <w:szCs w:val="27"/>
        </w:rPr>
        <w:t>。</w:t>
      </w:r>
    </w:p>
    <w:p w14:paraId="7E00C108">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14:paraId="2CFF5497">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年度财政拨款“三公”经费支出</w:t>
      </w:r>
      <w:r>
        <w:rPr>
          <w:rFonts w:eastAsia="Times New Roman"/>
          <w:color w:val="000000"/>
          <w:kern w:val="0"/>
          <w:sz w:val="27"/>
          <w:szCs w:val="27"/>
          <w:u w:val="single" w:color="000000"/>
        </w:rPr>
        <w:t>18.25</w:t>
      </w:r>
      <w:r>
        <w:rPr>
          <w:rFonts w:ascii="仿宋_GB2312" w:hAnsi="仿宋_GB2312" w:eastAsia="仿宋_GB2312" w:cs="仿宋_GB2312"/>
          <w:color w:val="000000"/>
          <w:kern w:val="0"/>
          <w:sz w:val="27"/>
          <w:szCs w:val="27"/>
        </w:rPr>
        <w:t>万元。因公出国（境）费支出</w:t>
      </w:r>
      <w:r>
        <w:rPr>
          <w:rFonts w:eastAsia="Times New Roman"/>
          <w:color w:val="000000"/>
          <w:kern w:val="0"/>
          <w:sz w:val="27"/>
          <w:szCs w:val="27"/>
          <w:u w:val="single" w:color="000000"/>
        </w:rPr>
        <w:t>5.78</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31.66</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12.48</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68.34</w:t>
      </w:r>
      <w:r>
        <w:rPr>
          <w:rFonts w:ascii="仿宋_GB2312" w:hAnsi="仿宋_GB2312" w:eastAsia="仿宋_GB2312" w:cs="仿宋_GB2312"/>
          <w:color w:val="000000"/>
          <w:kern w:val="0"/>
          <w:sz w:val="27"/>
          <w:szCs w:val="27"/>
        </w:rPr>
        <w:t>%；公务接待费支出</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%。其中：</w:t>
      </w:r>
    </w:p>
    <w:p w14:paraId="5E0C24C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因公出国（境）费支出</w:t>
      </w:r>
      <w:r>
        <w:rPr>
          <w:rFonts w:eastAsia="Times New Roman"/>
          <w:color w:val="000000"/>
          <w:kern w:val="0"/>
          <w:sz w:val="27"/>
          <w:szCs w:val="27"/>
          <w:u w:val="single" w:color="000000"/>
        </w:rPr>
        <w:t>5.78</w:t>
      </w:r>
      <w:r>
        <w:rPr>
          <w:rFonts w:ascii="仿宋_GB2312" w:hAnsi="仿宋_GB2312" w:eastAsia="仿宋_GB2312" w:cs="仿宋_GB2312"/>
          <w:color w:val="000000"/>
          <w:kern w:val="0"/>
          <w:sz w:val="27"/>
          <w:szCs w:val="27"/>
        </w:rPr>
        <w:t>万元，全年出国（境）团组</w:t>
      </w:r>
      <w:r>
        <w:rPr>
          <w:rFonts w:eastAsia="Times New Roman"/>
          <w:color w:val="000000"/>
          <w:kern w:val="0"/>
          <w:sz w:val="27"/>
          <w:szCs w:val="27"/>
          <w:u w:val="single" w:color="000000"/>
        </w:rPr>
        <w:t>1</w:t>
      </w:r>
      <w:r>
        <w:rPr>
          <w:rFonts w:ascii="仿宋_GB2312" w:hAnsi="仿宋_GB2312" w:eastAsia="仿宋_GB2312" w:cs="仿宋_GB2312"/>
          <w:color w:val="000000"/>
          <w:kern w:val="0"/>
          <w:sz w:val="27"/>
          <w:szCs w:val="27"/>
        </w:rPr>
        <w:t>个，累计</w:t>
      </w:r>
      <w:r>
        <w:rPr>
          <w:rFonts w:eastAsia="Times New Roman"/>
          <w:color w:val="000000"/>
          <w:kern w:val="0"/>
          <w:sz w:val="27"/>
          <w:szCs w:val="27"/>
          <w:u w:val="single" w:color="000000"/>
        </w:rPr>
        <w:t>1</w:t>
      </w:r>
      <w:r>
        <w:rPr>
          <w:rFonts w:ascii="仿宋_GB2312" w:hAnsi="仿宋_GB2312" w:eastAsia="仿宋_GB2312" w:cs="仿宋_GB2312"/>
          <w:color w:val="000000"/>
          <w:kern w:val="0"/>
          <w:sz w:val="27"/>
          <w:szCs w:val="27"/>
        </w:rPr>
        <w:t>人次。与上年决算相比，增加</w:t>
      </w:r>
      <w:r>
        <w:rPr>
          <w:rFonts w:eastAsia="Times New Roman"/>
          <w:color w:val="000000"/>
          <w:kern w:val="0"/>
          <w:sz w:val="27"/>
          <w:szCs w:val="27"/>
          <w:u w:val="single" w:color="000000"/>
        </w:rPr>
        <w:t>5.78</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rPr>
        <w:t>本年度我单位党组书记因公赴美发生因公出国费用。</w:t>
      </w:r>
      <w:r>
        <w:rPr>
          <w:rFonts w:ascii="仿宋_GB2312" w:hAnsi="仿宋_GB2312" w:eastAsia="仿宋_GB2312" w:cs="仿宋_GB2312"/>
          <w:color w:val="000000"/>
          <w:kern w:val="0"/>
          <w:sz w:val="27"/>
          <w:szCs w:val="27"/>
        </w:rPr>
        <w:t>。</w:t>
      </w:r>
    </w:p>
    <w:p w14:paraId="4C57D669">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color w:val="000000"/>
          <w:kern w:val="0"/>
          <w:sz w:val="27"/>
          <w:szCs w:val="27"/>
        </w:rPr>
        <w:t>    2.</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12.48</w:t>
      </w:r>
      <w:r>
        <w:rPr>
          <w:rFonts w:ascii="仿宋_GB2312" w:hAnsi="仿宋_GB2312" w:eastAsia="仿宋_GB2312" w:cs="仿宋_GB2312"/>
          <w:color w:val="000000"/>
          <w:kern w:val="0"/>
          <w:sz w:val="27"/>
          <w:szCs w:val="27"/>
        </w:rPr>
        <w:t>万元。其中：</w:t>
      </w:r>
    </w:p>
    <w:p w14:paraId="62FDA45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（1）公务用车购置支出</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万元。本年度使用财政拨款购置公务用车</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辆，开支内容：</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。与上年决算相比，增加</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rPr>
        <w:t>不涉及此项</w:t>
      </w:r>
      <w:r>
        <w:rPr>
          <w:rFonts w:ascii="仿宋_GB2312" w:hAnsi="仿宋_GB2312" w:eastAsia="仿宋_GB2312" w:cs="仿宋_GB2312"/>
          <w:color w:val="000000"/>
          <w:kern w:val="0"/>
          <w:sz w:val="27"/>
          <w:szCs w:val="27"/>
        </w:rPr>
        <w:t>。</w:t>
      </w:r>
    </w:p>
    <w:p w14:paraId="2D5F1D76">
      <w:pPr>
        <w:widowControl/>
        <w:spacing w:before="240" w:after="24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  （2）公务用车运行维护费支出</w:t>
      </w:r>
      <w:r>
        <w:rPr>
          <w:rFonts w:eastAsia="Times New Roman"/>
          <w:color w:val="000000"/>
          <w:kern w:val="0"/>
          <w:sz w:val="27"/>
          <w:szCs w:val="27"/>
          <w:u w:val="single" w:color="000000"/>
        </w:rPr>
        <w:t>12.48</w:t>
      </w:r>
      <w:r>
        <w:rPr>
          <w:rFonts w:ascii="仿宋_GB2312" w:hAnsi="仿宋_GB2312" w:eastAsia="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5</w:t>
      </w:r>
      <w:r>
        <w:rPr>
          <w:rFonts w:ascii="仿宋_GB2312" w:hAnsi="仿宋_GB2312" w:eastAsia="仿宋_GB2312" w:cs="仿宋_GB2312"/>
          <w:color w:val="000000"/>
          <w:kern w:val="0"/>
          <w:sz w:val="27"/>
          <w:szCs w:val="27"/>
        </w:rPr>
        <w:t>辆。与上年决算相比，增加</w:t>
      </w:r>
      <w:r>
        <w:rPr>
          <w:rFonts w:eastAsia="Times New Roman"/>
          <w:color w:val="000000"/>
          <w:kern w:val="0"/>
          <w:sz w:val="27"/>
          <w:szCs w:val="27"/>
          <w:u w:val="single" w:color="000000"/>
        </w:rPr>
        <w:t>1.32</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11.85</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增加主要原因是2024年项目经费增加，科普活动举办场次增加，相应公车运行费用增加。</w:t>
      </w:r>
    </w:p>
    <w:p w14:paraId="5578EB8A">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times_new_roman" w:hAnsi="times_new_roman" w:eastAsia="times_new_roman" w:cs="times_new_roman"/>
          <w:color w:val="000000"/>
          <w:kern w:val="0"/>
          <w:sz w:val="27"/>
          <w:szCs w:val="27"/>
        </w:rPr>
        <w:t> 3</w:t>
      </w:r>
      <w:r>
        <w:rPr>
          <w:rFonts w:ascii="仿宋_GB2312" w:hAnsi="仿宋_GB2312" w:eastAsia="仿宋_GB2312" w:cs="仿宋_GB2312"/>
          <w:color w:val="000000"/>
          <w:kern w:val="0"/>
          <w:sz w:val="27"/>
          <w:szCs w:val="27"/>
        </w:rPr>
        <w:t>.公务接待费支出</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万元。其中：国内公务接待支出</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万元，接待</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批次，</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；国（境）外公务接待支出</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万元，接待</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批次，</w:t>
      </w:r>
      <w:r>
        <w:rPr>
          <w:rFonts w:ascii="仿宋_GB2312" w:hAnsi="仿宋_GB2312" w:eastAsia="仿宋_GB2312" w:cs="仿宋_GB2312"/>
          <w:color w:val="000000"/>
          <w:kern w:val="0"/>
          <w:sz w:val="27"/>
          <w:szCs w:val="27"/>
          <w:u w:val="single"/>
        </w:rPr>
        <w:t>0</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val="en-US" w:eastAsia="zh-CN"/>
        </w:rPr>
        <w:t>不涉及此项</w:t>
      </w:r>
      <w:r>
        <w:rPr>
          <w:rFonts w:ascii="仿宋_GB2312" w:hAnsi="仿宋_GB2312" w:eastAsia="仿宋_GB2312" w:cs="仿宋_GB2312"/>
          <w:color w:val="000000"/>
          <w:kern w:val="0"/>
          <w:sz w:val="27"/>
          <w:szCs w:val="27"/>
        </w:rPr>
        <w:t>。与上年决算相比，减少</w:t>
      </w:r>
      <w:r>
        <w:rPr>
          <w:rFonts w:ascii="仿宋_GB2312" w:hAnsi="仿宋_GB2312" w:eastAsia="仿宋_GB2312" w:cs="仿宋_GB2312"/>
          <w:color w:val="000000"/>
          <w:kern w:val="0"/>
          <w:sz w:val="27"/>
          <w:szCs w:val="27"/>
          <w:u w:val="single"/>
        </w:rPr>
        <w:t>0.06</w:t>
      </w:r>
      <w:r>
        <w:rPr>
          <w:rFonts w:ascii="仿宋_GB2312" w:hAnsi="仿宋_GB2312" w:eastAsia="仿宋_GB2312" w:cs="仿宋_GB2312"/>
          <w:color w:val="000000"/>
          <w:kern w:val="0"/>
          <w:sz w:val="27"/>
          <w:szCs w:val="27"/>
        </w:rPr>
        <w:t>万元，下降</w:t>
      </w:r>
      <w:r>
        <w:rPr>
          <w:rFonts w:hint="eastAsia" w:ascii="仿宋_GB2312" w:hAnsi="仿宋_GB2312" w:eastAsia="仿宋_GB2312" w:cs="仿宋_GB2312"/>
          <w:color w:val="000000"/>
          <w:kern w:val="0"/>
          <w:sz w:val="27"/>
          <w:szCs w:val="27"/>
          <w:u w:val="single"/>
          <w:lang w:val="en-US" w:eastAsia="zh-CN"/>
        </w:rPr>
        <w:t>1</w:t>
      </w:r>
      <w:r>
        <w:rPr>
          <w:rFonts w:ascii="仿宋_GB2312" w:hAnsi="仿宋_GB2312" w:eastAsia="仿宋_GB2312" w:cs="仿宋_GB2312"/>
          <w:color w:val="000000"/>
          <w:kern w:val="0"/>
          <w:sz w:val="27"/>
          <w:szCs w:val="27"/>
          <w:u w:val="single"/>
        </w:rPr>
        <w:t>00.00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本年度不涉及公务接待费用支出</w:t>
      </w:r>
      <w:r>
        <w:rPr>
          <w:rFonts w:ascii="仿宋_GB2312" w:hAnsi="仿宋_GB2312" w:eastAsia="仿宋_GB2312" w:cs="仿宋_GB2312"/>
          <w:color w:val="000000"/>
          <w:kern w:val="0"/>
          <w:sz w:val="27"/>
          <w:szCs w:val="27"/>
        </w:rPr>
        <w:t>。</w:t>
      </w:r>
    </w:p>
    <w:p w14:paraId="2298E0BC">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九、政府性基金预算财政拨款支出决算情况说明</w:t>
      </w:r>
    </w:p>
    <w:p w14:paraId="60D56AAE">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年度政府性基金预算财政拨款支出决算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%，变动原因：本年无政府性基金预算财政拨款收、支、余。</w:t>
      </w:r>
    </w:p>
    <w:p w14:paraId="30C3D6C7">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十、国有资本经营预算财政拨款支出决算情况说明</w:t>
      </w:r>
    </w:p>
    <w:p w14:paraId="53D7DCE5">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年度国有资本经营预算财政拨款支出决算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%，变动原因：本年无国有资本经营预算财政拨款收、支、余。</w:t>
      </w:r>
    </w:p>
    <w:p w14:paraId="435CE7B1">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十一、机关运行经费（公用经费）支出决算情况说明</w:t>
      </w:r>
    </w:p>
    <w:p w14:paraId="173E769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鄂尔多斯市科学技术协会部门2024年度公用经费支出决算</w:t>
      </w:r>
      <w:r>
        <w:rPr>
          <w:rFonts w:eastAsia="Times New Roman"/>
          <w:color w:val="000000"/>
          <w:kern w:val="0"/>
          <w:sz w:val="27"/>
          <w:szCs w:val="27"/>
          <w:u w:val="single" w:color="000000"/>
        </w:rPr>
        <w:t>119.32</w:t>
      </w:r>
      <w:r>
        <w:rPr>
          <w:rFonts w:ascii="仿宋_GB2312" w:hAnsi="仿宋_GB2312" w:eastAsia="仿宋_GB2312" w:cs="仿宋_GB2312"/>
          <w:color w:val="000000"/>
          <w:kern w:val="0"/>
          <w:sz w:val="27"/>
          <w:szCs w:val="27"/>
        </w:rPr>
        <w:t>万元，与上年决算相比，减少</w:t>
      </w:r>
      <w:r>
        <w:rPr>
          <w:rFonts w:eastAsia="Times New Roman"/>
          <w:color w:val="000000"/>
          <w:kern w:val="0"/>
          <w:sz w:val="27"/>
          <w:szCs w:val="27"/>
          <w:u w:val="single" w:color="000000"/>
        </w:rPr>
        <w:t>4.44</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3.59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缩减公用经费产生</w:t>
      </w:r>
      <w:r>
        <w:rPr>
          <w:rFonts w:ascii="仿宋_GB2312" w:hAnsi="仿宋_GB2312" w:eastAsia="仿宋_GB2312" w:cs="仿宋_GB2312"/>
          <w:color w:val="000000"/>
          <w:kern w:val="0"/>
          <w:sz w:val="27"/>
          <w:szCs w:val="27"/>
        </w:rPr>
        <w:t>。其中，机关运行经费支出决算</w:t>
      </w:r>
      <w:r>
        <w:rPr>
          <w:rFonts w:eastAsia="Times New Roman"/>
          <w:color w:val="000000"/>
          <w:kern w:val="0"/>
          <w:sz w:val="27"/>
          <w:szCs w:val="27"/>
          <w:u w:val="single" w:color="000000"/>
        </w:rPr>
        <w:t>48.63</w:t>
      </w:r>
      <w:r>
        <w:rPr>
          <w:rFonts w:ascii="仿宋_GB2312" w:hAnsi="仿宋_GB2312" w:eastAsia="仿宋_GB2312" w:cs="仿宋_GB2312"/>
          <w:color w:val="000000"/>
          <w:kern w:val="0"/>
          <w:sz w:val="27"/>
          <w:szCs w:val="27"/>
        </w:rPr>
        <w:t>万元。比上年决算相比，减少</w:t>
      </w:r>
      <w:r>
        <w:rPr>
          <w:rFonts w:eastAsia="Times New Roman"/>
          <w:color w:val="000000"/>
          <w:kern w:val="0"/>
          <w:sz w:val="27"/>
          <w:szCs w:val="27"/>
          <w:u w:val="single" w:color="000000"/>
        </w:rPr>
        <w:t>2.08</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4.09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缩减公用经费产生</w:t>
      </w:r>
      <w:r>
        <w:rPr>
          <w:rFonts w:ascii="仿宋_GB2312" w:hAnsi="仿宋_GB2312" w:eastAsia="仿宋_GB2312" w:cs="仿宋_GB2312"/>
          <w:color w:val="000000"/>
          <w:kern w:val="0"/>
          <w:sz w:val="27"/>
          <w:szCs w:val="27"/>
        </w:rPr>
        <w:t>。</w:t>
      </w:r>
    </w:p>
    <w:p w14:paraId="2765B07B">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十二、政府采购支出决算情况说明</w:t>
      </w:r>
    </w:p>
    <w:p w14:paraId="4D7950F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鄂尔多斯市科学技术协会部门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年度政府采购支出总额</w:t>
      </w:r>
      <w:r>
        <w:rPr>
          <w:rFonts w:ascii="times_new_roman" w:hAnsi="times_new_roman" w:eastAsia="times_new_roman" w:cs="times_new_roman"/>
          <w:color w:val="000000"/>
          <w:kern w:val="0"/>
          <w:sz w:val="27"/>
          <w:szCs w:val="27"/>
          <w:u w:val="single" w:color="000000"/>
        </w:rPr>
        <w:t> 70.00</w:t>
      </w:r>
      <w:r>
        <w:rPr>
          <w:rFonts w:ascii="仿宋_GB2312" w:hAnsi="仿宋_GB2312" w:eastAsia="仿宋_GB2312" w:cs="仿宋_GB2312"/>
          <w:color w:val="000000"/>
          <w:kern w:val="0"/>
          <w:sz w:val="27"/>
          <w:szCs w:val="27"/>
        </w:rPr>
        <w:t>万元，其中：政府采购货物支出</w:t>
      </w:r>
      <w:r>
        <w:rPr>
          <w:rFonts w:ascii="times_new_roman" w:hAnsi="times_new_roman" w:eastAsia="times_new_roman" w:cs="times_new_roman"/>
          <w:color w:val="000000"/>
          <w:kern w:val="0"/>
          <w:sz w:val="27"/>
          <w:szCs w:val="27"/>
          <w:u w:val="single" w:color="000000"/>
        </w:rPr>
        <w:t> 8.98</w:t>
      </w:r>
      <w:r>
        <w:rPr>
          <w:rFonts w:ascii="仿宋_GB2312" w:hAnsi="仿宋_GB2312" w:eastAsia="仿宋_GB2312" w:cs="仿宋_GB2312"/>
          <w:color w:val="000000"/>
          <w:kern w:val="0"/>
          <w:sz w:val="27"/>
          <w:szCs w:val="27"/>
        </w:rPr>
        <w:t>万元、政府采购工程支出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万元、政府采购服务支出</w:t>
      </w:r>
      <w:r>
        <w:rPr>
          <w:rFonts w:ascii="times_new_roman" w:hAnsi="times_new_roman" w:eastAsia="times_new_roman" w:cs="times_new_roman"/>
          <w:color w:val="000000"/>
          <w:kern w:val="0"/>
          <w:sz w:val="27"/>
          <w:szCs w:val="27"/>
          <w:u w:val="single" w:color="000000"/>
        </w:rPr>
        <w:t> 61.02</w:t>
      </w:r>
      <w:r>
        <w:rPr>
          <w:rFonts w:ascii="仿宋_GB2312" w:hAnsi="仿宋_GB2312" w:eastAsia="仿宋_GB2312" w:cs="仿宋_GB2312"/>
          <w:color w:val="000000"/>
          <w:kern w:val="0"/>
          <w:sz w:val="27"/>
          <w:szCs w:val="27"/>
        </w:rPr>
        <w:t>万元。政府采购授予中小企业合同金额</w:t>
      </w:r>
      <w:r>
        <w:rPr>
          <w:rFonts w:ascii="times_new_roman" w:hAnsi="times_new_roman" w:eastAsia="times_new_roman" w:cs="times_new_roman"/>
          <w:color w:val="000000"/>
          <w:kern w:val="0"/>
          <w:sz w:val="27"/>
          <w:szCs w:val="27"/>
          <w:u w:val="single" w:color="000000"/>
        </w:rPr>
        <w:t> 48.03</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cs="times_new_roman"/>
          <w:color w:val="000000"/>
          <w:kern w:val="0"/>
          <w:sz w:val="27"/>
          <w:szCs w:val="27"/>
          <w:u w:val="single" w:color="000000"/>
          <w:lang w:val="en-US" w:eastAsia="zh-CN"/>
        </w:rPr>
        <w:t>68.61</w:t>
      </w:r>
      <w:r>
        <w:rPr>
          <w:rFonts w:ascii="仿宋_GB2312" w:hAnsi="仿宋_GB2312" w:eastAsia="仿宋_GB2312" w:cs="仿宋_GB2312"/>
          <w:color w:val="000000"/>
          <w:kern w:val="0"/>
          <w:sz w:val="27"/>
          <w:szCs w:val="27"/>
        </w:rPr>
        <w:t>%，其中：授予小微企业合同金额</w:t>
      </w:r>
      <w:r>
        <w:rPr>
          <w:rFonts w:ascii="times_new_roman" w:hAnsi="times_new_roman" w:eastAsia="times_new_roman" w:cs="times_new_roman"/>
          <w:color w:val="000000"/>
          <w:kern w:val="0"/>
          <w:sz w:val="27"/>
          <w:szCs w:val="27"/>
          <w:u w:val="single" w:color="000000"/>
        </w:rPr>
        <w:t> 43.68</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cs="times_new_roman"/>
          <w:color w:val="000000"/>
          <w:kern w:val="0"/>
          <w:sz w:val="27"/>
          <w:szCs w:val="27"/>
          <w:u w:val="single" w:color="000000"/>
          <w:lang w:val="en-US" w:eastAsia="zh-CN"/>
        </w:rPr>
        <w:t>62.4</w:t>
      </w:r>
      <w:r>
        <w:rPr>
          <w:rFonts w:ascii="仿宋_GB2312" w:hAnsi="仿宋_GB2312" w:eastAsia="仿宋_GB2312" w:cs="仿宋_GB2312"/>
          <w:color w:val="000000"/>
          <w:kern w:val="0"/>
          <w:sz w:val="27"/>
          <w:szCs w:val="27"/>
        </w:rPr>
        <w:t>%；货物采购授予中小企业合同金额占货物支出金额的</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%，工程采购授予中小企业合同金额占工程支出金额的</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%，服务采购授予中小企业合同金额占服务支出金额的</w:t>
      </w:r>
      <w:r>
        <w:rPr>
          <w:rFonts w:hint="eastAsia" w:ascii="times_new_roman" w:hAnsi="times_new_roman" w:cs="times_new_roman"/>
          <w:color w:val="000000"/>
          <w:kern w:val="0"/>
          <w:sz w:val="27"/>
          <w:szCs w:val="27"/>
          <w:u w:val="single" w:color="000000"/>
          <w:lang w:val="en-US" w:eastAsia="zh-CN"/>
        </w:rPr>
        <w:t>62.4</w:t>
      </w:r>
      <w:r>
        <w:rPr>
          <w:rFonts w:ascii="仿宋_GB2312" w:hAnsi="仿宋_GB2312" w:eastAsia="仿宋_GB2312" w:cs="仿宋_GB2312"/>
          <w:color w:val="000000"/>
          <w:kern w:val="0"/>
          <w:sz w:val="27"/>
          <w:szCs w:val="27"/>
        </w:rPr>
        <w:t>%。</w:t>
      </w:r>
    </w:p>
    <w:p w14:paraId="74600DC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十三、国有资产占用情况说明</w:t>
      </w:r>
    </w:p>
    <w:p w14:paraId="5270502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日，本</w:t>
      </w:r>
      <w:r>
        <w:rPr>
          <w:rFonts w:hint="eastAsia" w:ascii="仿宋_GB2312" w:hAnsi="仿宋_GB2312" w:eastAsia="仿宋_GB2312" w:cs="仿宋_GB2312"/>
          <w:color w:val="000000"/>
          <w:kern w:val="0"/>
          <w:sz w:val="27"/>
          <w:szCs w:val="27"/>
          <w:lang w:eastAsia="zh-CN"/>
        </w:rPr>
        <w:t>部门</w:t>
      </w:r>
      <w:r>
        <w:rPr>
          <w:rFonts w:ascii="仿宋_GB2312" w:hAnsi="仿宋_GB2312" w:eastAsia="仿宋_GB2312" w:cs="仿宋_GB2312"/>
          <w:color w:val="000000"/>
          <w:kern w:val="0"/>
          <w:sz w:val="27"/>
          <w:szCs w:val="27"/>
        </w:rPr>
        <w:t>共有车辆</w:t>
      </w:r>
      <w:r>
        <w:rPr>
          <w:rFonts w:ascii="times_new_roman" w:hAnsi="times_new_roman" w:eastAsia="times_new_roman" w:cs="times_new_roman"/>
          <w:color w:val="000000"/>
          <w:kern w:val="0"/>
          <w:sz w:val="27"/>
          <w:szCs w:val="27"/>
          <w:u w:val="single" w:color="000000"/>
        </w:rPr>
        <w:t> 5</w:t>
      </w:r>
      <w:r>
        <w:rPr>
          <w:rFonts w:ascii="仿宋_GB2312" w:hAnsi="仿宋_GB2312" w:eastAsia="仿宋_GB2312" w:cs="仿宋_GB2312"/>
          <w:color w:val="000000"/>
          <w:kern w:val="0"/>
          <w:sz w:val="27"/>
          <w:szCs w:val="27"/>
        </w:rPr>
        <w:t>辆，其中：副部（省）级及以上领导用车</w:t>
      </w:r>
      <w:r>
        <w:rPr>
          <w:rFonts w:ascii="times_new_roman" w:hAnsi="times_new_roman" w:eastAsia="times_new_roman" w:cs="times_new_roman"/>
          <w:color w:val="000000"/>
          <w:kern w:val="0"/>
          <w:sz w:val="27"/>
          <w:szCs w:val="27"/>
          <w:u w:val="single" w:color="000000"/>
        </w:rPr>
        <w:t>0 </w:t>
      </w:r>
      <w:r>
        <w:rPr>
          <w:rFonts w:ascii="仿宋_GB2312" w:hAnsi="仿宋_GB2312" w:eastAsia="仿宋_GB2312" w:cs="仿宋_GB2312"/>
          <w:color w:val="000000"/>
          <w:kern w:val="0"/>
          <w:sz w:val="27"/>
          <w:szCs w:val="27"/>
        </w:rPr>
        <w:t>辆、主要负责人用车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辆、机要通信用车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辆、应急保障用车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辆、执法执勤用车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辆、特种专业技术用车</w:t>
      </w:r>
      <w:r>
        <w:rPr>
          <w:rFonts w:ascii="times_new_roman" w:hAnsi="times_new_roman" w:eastAsia="times_new_roman" w:cs="times_new_roman"/>
          <w:color w:val="000000"/>
          <w:kern w:val="0"/>
          <w:sz w:val="27"/>
          <w:szCs w:val="27"/>
          <w:u w:val="single" w:color="000000"/>
        </w:rPr>
        <w:t> 2</w:t>
      </w:r>
      <w:r>
        <w:rPr>
          <w:rFonts w:ascii="仿宋_GB2312" w:hAnsi="仿宋_GB2312" w:eastAsia="仿宋_GB2312" w:cs="仿宋_GB2312"/>
          <w:color w:val="000000"/>
          <w:kern w:val="0"/>
          <w:sz w:val="27"/>
          <w:szCs w:val="27"/>
        </w:rPr>
        <w:t>辆、离退休干部服务用车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辆，其他用车</w:t>
      </w:r>
      <w:r>
        <w:rPr>
          <w:rFonts w:ascii="times_new_roman" w:hAnsi="times_new_roman" w:eastAsia="times_new_roman" w:cs="times_new_roman"/>
          <w:color w:val="000000"/>
          <w:kern w:val="0"/>
          <w:sz w:val="27"/>
          <w:szCs w:val="27"/>
          <w:u w:val="single" w:color="000000"/>
        </w:rPr>
        <w:t> 3</w:t>
      </w:r>
      <w:r>
        <w:rPr>
          <w:rFonts w:ascii="仿宋_GB2312" w:hAnsi="仿宋_GB2312" w:eastAsia="仿宋_GB2312" w:cs="仿宋_GB2312"/>
          <w:color w:val="000000"/>
          <w:kern w:val="0"/>
          <w:sz w:val="27"/>
          <w:szCs w:val="27"/>
        </w:rPr>
        <w:t>辆；单价100万元（含）以上的设备（不含车辆）</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台（套）。</w:t>
      </w:r>
    </w:p>
    <w:p w14:paraId="78D2A3D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十四、预算绩效情况说明</w:t>
      </w:r>
    </w:p>
    <w:p w14:paraId="7C531101">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14:paraId="04D9D4CF">
      <w:pPr>
        <w:widowControl/>
        <w:spacing w:before="240" w:after="240"/>
        <w:rPr>
          <w:rFonts w:hint="eastAsia" w:ascii="Times New Roman" w:hAnsi="Times New Roman" w:eastAsia="仿宋_GB2312" w:cs="Times New Roman"/>
          <w:kern w:val="0"/>
          <w:sz w:val="24"/>
          <w:lang w:eastAsia="zh-CN"/>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鄂尔多斯市科学技术协会部门根据预算绩效管理要求组织对</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年一般公共预算项目支出全面开展绩效自评，其中一级项目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个，二级项目</w:t>
      </w:r>
      <w:r>
        <w:rPr>
          <w:rFonts w:hint="eastAsia" w:ascii="仿宋_GB2312" w:hAnsi="仿宋_GB2312" w:eastAsia="仿宋_GB2312" w:cs="仿宋_GB2312"/>
          <w:color w:val="000000"/>
          <w:kern w:val="0"/>
          <w:sz w:val="27"/>
          <w:szCs w:val="27"/>
          <w:u w:val="single"/>
          <w:lang w:val="en-US" w:eastAsia="zh-CN"/>
        </w:rPr>
        <w:t>8</w:t>
      </w:r>
      <w:r>
        <w:rPr>
          <w:rFonts w:ascii="仿宋_GB2312" w:hAnsi="仿宋_GB2312" w:eastAsia="仿宋_GB2312" w:cs="仿宋_GB2312"/>
          <w:color w:val="000000"/>
          <w:kern w:val="0"/>
          <w:sz w:val="27"/>
          <w:szCs w:val="27"/>
        </w:rPr>
        <w:t>个，共涉及资金</w:t>
      </w:r>
      <w:r>
        <w:rPr>
          <w:rFonts w:hint="eastAsia" w:ascii="times_new_roman" w:hAnsi="times_new_roman" w:cs="times_new_roman"/>
          <w:color w:val="000000"/>
          <w:kern w:val="0"/>
          <w:sz w:val="27"/>
          <w:szCs w:val="27"/>
          <w:u w:val="single" w:color="000000"/>
          <w:lang w:val="en-US" w:eastAsia="zh-CN"/>
        </w:rPr>
        <w:t>986.73</w:t>
      </w:r>
      <w:r>
        <w:rPr>
          <w:rFonts w:ascii="仿宋_GB2312" w:hAnsi="仿宋_GB2312" w:eastAsia="仿宋_GB2312" w:cs="仿宋_GB2312"/>
          <w:color w:val="000000"/>
          <w:kern w:val="0"/>
          <w:sz w:val="27"/>
          <w:szCs w:val="27"/>
        </w:rPr>
        <w:t>万元，占一般公共预算项目支出总额的</w:t>
      </w:r>
      <w:r>
        <w:rPr>
          <w:rFonts w:ascii="times_new_roman" w:hAnsi="times_new_roman" w:eastAsia="times_new_roman" w:cs="times_new_roman"/>
          <w:color w:val="000000"/>
          <w:kern w:val="0"/>
          <w:sz w:val="27"/>
          <w:szCs w:val="27"/>
        </w:rPr>
        <w:t>100</w:t>
      </w:r>
      <w:r>
        <w:rPr>
          <w:rFonts w:ascii="仿宋_GB2312" w:hAnsi="仿宋_GB2312" w:eastAsia="仿宋_GB2312" w:cs="仿宋_GB2312"/>
          <w:color w:val="000000"/>
          <w:kern w:val="0"/>
          <w:sz w:val="27"/>
          <w:szCs w:val="27"/>
        </w:rPr>
        <w:t>%；政府性基金预算项目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个，其中，一级项目</w:t>
      </w:r>
      <w:r>
        <w:rPr>
          <w:rFonts w:ascii="times_new_roman" w:hAnsi="times_new_roman" w:eastAsia="times_new_roman" w:cs="times_new_roman"/>
          <w:color w:val="000000"/>
          <w:kern w:val="0"/>
          <w:sz w:val="27"/>
          <w:szCs w:val="27"/>
          <w:u w:val="single" w:color="000000"/>
        </w:rPr>
        <w:t> </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个，二级项目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个，共涉及资金</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lang w:eastAsia="zh-CN"/>
        </w:rPr>
        <w:t>。</w:t>
      </w:r>
    </w:p>
    <w:p w14:paraId="3944F636">
      <w:pPr>
        <w:widowControl/>
        <w:spacing w:before="240" w:after="240"/>
        <w:rPr>
          <w:rFonts w:hint="eastAsia" w:ascii="Times New Roman" w:hAnsi="Times New Roman" w:eastAsia="仿宋_GB2312" w:cs="Times New Roman"/>
          <w:kern w:val="0"/>
          <w:sz w:val="24"/>
          <w:lang w:val="en-US" w:eastAsia="zh-CN"/>
        </w:rPr>
      </w:pPr>
      <w:r>
        <w:rPr>
          <w:rFonts w:ascii="仿宋_GB2312" w:hAnsi="仿宋_GB2312" w:eastAsia="仿宋_GB2312" w:cs="仿宋_GB2312"/>
          <w:color w:val="000000"/>
          <w:kern w:val="0"/>
          <w:sz w:val="27"/>
          <w:szCs w:val="27"/>
        </w:rPr>
        <w:t>  组织对</w:t>
      </w:r>
      <w:r>
        <w:rPr>
          <w:rFonts w:ascii="仿宋_GB2312" w:hAnsi="仿宋_GB2312" w:eastAsia="仿宋_GB2312" w:cs="仿宋_GB2312"/>
          <w:color w:val="000000"/>
          <w:kern w:val="0"/>
          <w:sz w:val="27"/>
          <w:szCs w:val="27"/>
          <w:u w:val="single" w:color="000000"/>
        </w:rPr>
        <w:t> </w:t>
      </w:r>
      <w:r>
        <w:rPr>
          <w:rFonts w:hint="eastAsia" w:ascii="仿宋_GB2312" w:hAnsi="仿宋_GB2312" w:eastAsia="仿宋_GB2312" w:cs="仿宋_GB2312"/>
          <w:color w:val="000000"/>
          <w:kern w:val="0"/>
          <w:sz w:val="27"/>
          <w:szCs w:val="27"/>
          <w:u w:val="single" w:color="000000"/>
          <w:lang w:val="en-US" w:eastAsia="zh-CN"/>
        </w:rPr>
        <w:t>0</w:t>
      </w:r>
      <w:r>
        <w:rPr>
          <w:rFonts w:ascii="仿宋_GB2312" w:hAnsi="仿宋_GB2312" w:eastAsia="仿宋_GB2312" w:cs="仿宋_GB2312"/>
          <w:color w:val="000000"/>
          <w:kern w:val="0"/>
          <w:sz w:val="27"/>
          <w:szCs w:val="27"/>
          <w:u w:val="single" w:color="000000"/>
        </w:rPr>
        <w:t> </w:t>
      </w:r>
      <w:r>
        <w:rPr>
          <w:rFonts w:ascii="仿宋_GB2312" w:hAnsi="仿宋_GB2312" w:eastAsia="仿宋_GB2312" w:cs="仿宋_GB2312"/>
          <w:color w:val="000000"/>
          <w:kern w:val="0"/>
          <w:sz w:val="27"/>
          <w:szCs w:val="27"/>
        </w:rPr>
        <w:t>个项目开展了部门评价，涉及一般公共预算支出</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万元，政府性基金支出</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lang w:eastAsia="zh-CN"/>
        </w:rPr>
        <w:t>。</w:t>
      </w:r>
    </w:p>
    <w:p w14:paraId="75E36837">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w:t>
      </w:r>
      <w:r>
        <w:rPr>
          <w:rFonts w:hint="eastAsia" w:ascii="kai_ti_gb2312" w:hAnsi="kai_ti_gb2312" w:cs="kai_ti_gb2312"/>
          <w:b/>
          <w:bCs/>
          <w:color w:val="000000"/>
          <w:kern w:val="0"/>
          <w:sz w:val="27"/>
          <w:szCs w:val="27"/>
          <w:lang w:eastAsia="zh-CN"/>
        </w:rPr>
        <w:t>部门</w:t>
      </w:r>
      <w:r>
        <w:rPr>
          <w:rFonts w:ascii="kai_ti_gb2312" w:hAnsi="kai_ti_gb2312" w:eastAsia="kai_ti_gb2312" w:cs="kai_ti_gb2312"/>
          <w:b/>
          <w:bCs/>
          <w:color w:val="000000"/>
          <w:kern w:val="0"/>
          <w:sz w:val="27"/>
          <w:szCs w:val="27"/>
        </w:rPr>
        <w:t>决算中项目绩效自评结果。</w:t>
      </w:r>
    </w:p>
    <w:p w14:paraId="0ED8FEFD">
      <w:pPr>
        <w:keepNext w:val="0"/>
        <w:keepLines w:val="0"/>
        <w:pageBreakBefore w:val="0"/>
        <w:widowControl/>
        <w:kinsoku/>
        <w:wordWrap/>
        <w:overflowPunct/>
        <w:topLinePunct w:val="0"/>
        <w:autoSpaceDE/>
        <w:autoSpaceDN/>
        <w:bidi w:val="0"/>
        <w:adjustRightInd/>
        <w:snapToGrid/>
        <w:spacing w:before="240" w:after="240"/>
        <w:textAlignment w:val="auto"/>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内蒙古自治区鄂尔多斯市科学技术协会（本级）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年度在决算中反映</w:t>
      </w:r>
      <w:r>
        <w:rPr>
          <w:rFonts w:hint="eastAsia" w:ascii="times_new_roman" w:hAnsi="times_new_roman" w:eastAsia="宋体" w:cs="times_new_roman"/>
          <w:color w:val="000000"/>
          <w:kern w:val="0"/>
          <w:sz w:val="27"/>
          <w:szCs w:val="27"/>
          <w:u w:val="single" w:color="000000"/>
          <w:lang w:val="en-US" w:eastAsia="zh-CN"/>
        </w:rPr>
        <w:t>8</w:t>
      </w:r>
      <w:r>
        <w:rPr>
          <w:rFonts w:ascii="仿宋_GB2312" w:hAnsi="仿宋_GB2312" w:eastAsia="仿宋_GB2312" w:cs="仿宋_GB2312"/>
          <w:color w:val="000000"/>
          <w:kern w:val="0"/>
          <w:sz w:val="27"/>
          <w:szCs w:val="27"/>
        </w:rPr>
        <w:t>个一般公共预算项目，以及</w:t>
      </w:r>
      <w:r>
        <w:rPr>
          <w:rFonts w:hint="eastAsia" w:ascii="times_new_roman" w:hAnsi="times_new_roman" w:eastAsia="宋体"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个政府性基金项目，共</w:t>
      </w:r>
      <w:r>
        <w:rPr>
          <w:rFonts w:hint="eastAsia" w:ascii="times_new_roman" w:hAnsi="times_new_roman" w:eastAsia="宋体" w:cs="times_new_roman"/>
          <w:color w:val="000000"/>
          <w:kern w:val="0"/>
          <w:sz w:val="27"/>
          <w:szCs w:val="27"/>
          <w:u w:val="single" w:color="000000"/>
          <w:lang w:val="en-US" w:eastAsia="zh-CN"/>
        </w:rPr>
        <w:t>5</w:t>
      </w:r>
      <w:r>
        <w:rPr>
          <w:rFonts w:ascii="仿宋_GB2312" w:hAnsi="仿宋_GB2312" w:eastAsia="仿宋_GB2312" w:cs="仿宋_GB2312"/>
          <w:color w:val="000000"/>
          <w:kern w:val="0"/>
          <w:sz w:val="27"/>
          <w:szCs w:val="27"/>
        </w:rPr>
        <w:t>个项目的绩效自评结果。</w:t>
      </w:r>
    </w:p>
    <w:p w14:paraId="273447F4">
      <w:pPr>
        <w:keepNext w:val="0"/>
        <w:keepLines w:val="0"/>
        <w:pageBreakBefore w:val="0"/>
        <w:widowControl/>
        <w:kinsoku/>
        <w:wordWrap/>
        <w:overflowPunct/>
        <w:topLinePunct w:val="0"/>
        <w:autoSpaceDE/>
        <w:autoSpaceDN/>
        <w:bidi w:val="0"/>
        <w:adjustRightInd/>
        <w:snapToGrid/>
        <w:spacing w:before="240" w:after="240"/>
        <w:textAlignment w:val="auto"/>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提高全民科学素质科普活动经费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宋体" w:cs="times_new_roman"/>
          <w:color w:val="000000"/>
          <w:kern w:val="0"/>
          <w:sz w:val="27"/>
          <w:szCs w:val="27"/>
          <w:u w:val="single" w:color="000000"/>
          <w:lang w:val="en-US" w:eastAsia="zh-CN"/>
        </w:rPr>
        <w:t>99.67</w:t>
      </w:r>
      <w:r>
        <w:rPr>
          <w:rFonts w:ascii="仿宋_GB2312" w:hAnsi="仿宋_GB2312" w:eastAsia="仿宋_GB2312" w:cs="仿宋_GB2312"/>
          <w:color w:val="000000"/>
          <w:kern w:val="0"/>
          <w:sz w:val="27"/>
          <w:szCs w:val="27"/>
        </w:rPr>
        <w:t>分。全年预算数为</w:t>
      </w:r>
      <w:r>
        <w:rPr>
          <w:rFonts w:hint="eastAsia" w:ascii="times_new_roman" w:hAnsi="times_new_roman" w:eastAsia="宋体" w:cs="times_new_roman"/>
          <w:color w:val="000000"/>
          <w:kern w:val="0"/>
          <w:sz w:val="27"/>
          <w:szCs w:val="27"/>
          <w:u w:val="single" w:color="000000"/>
          <w:lang w:val="en-US" w:eastAsia="zh-CN"/>
        </w:rPr>
        <w:t>444.17</w:t>
      </w:r>
      <w:r>
        <w:rPr>
          <w:rFonts w:ascii="仿宋_GB2312" w:hAnsi="仿宋_GB2312" w:eastAsia="仿宋_GB2312" w:cs="仿宋_GB2312"/>
          <w:color w:val="000000"/>
          <w:kern w:val="0"/>
          <w:sz w:val="27"/>
          <w:szCs w:val="27"/>
        </w:rPr>
        <w:t>万元，执行数为</w:t>
      </w:r>
      <w:r>
        <w:rPr>
          <w:rFonts w:hint="eastAsia" w:ascii="times_new_roman" w:hAnsi="times_new_roman" w:eastAsia="宋体" w:cs="times_new_roman"/>
          <w:color w:val="000000"/>
          <w:kern w:val="0"/>
          <w:sz w:val="27"/>
          <w:szCs w:val="27"/>
          <w:u w:val="single" w:color="000000"/>
          <w:lang w:val="en-US" w:eastAsia="zh-CN"/>
        </w:rPr>
        <w:t>444.12</w:t>
      </w:r>
      <w:r>
        <w:rPr>
          <w:rFonts w:ascii="仿宋_GB2312" w:hAnsi="仿宋_GB2312" w:eastAsia="仿宋_GB2312" w:cs="仿宋_GB2312"/>
          <w:color w:val="000000"/>
          <w:kern w:val="0"/>
          <w:sz w:val="27"/>
          <w:szCs w:val="27"/>
        </w:rPr>
        <w:t>万元，完成预算的</w:t>
      </w:r>
      <w:r>
        <w:rPr>
          <w:rFonts w:hint="eastAsia" w:ascii="times_new_roman" w:hAnsi="times_new_roman" w:eastAsia="宋体" w:cs="times_new_roman"/>
          <w:color w:val="000000"/>
          <w:kern w:val="0"/>
          <w:sz w:val="27"/>
          <w:szCs w:val="27"/>
          <w:u w:val="single" w:color="000000"/>
          <w:lang w:val="en-US" w:eastAsia="zh-CN"/>
        </w:rPr>
        <w:t>99.99</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rPr>
        <w:t>（一）品牌效应集成集聚。将“百嘎丽”品牌融入北疆文化建设，开展百嘎丽科普资源征集大赛，参与科普中国“千万IP创科普”并在市级主流媒体进行展播，活动受益人数超过20万人次。集成集聚“百嘎丽”各类活动1120余场次。推出“百嘎丽带你看非遗里的科普”系列原创科普作品，首期作品《百嘎丽带你看非遗里的科普——鄂尔多斯古如歌》原创科普作品荣获“典赞·科普中国”年度科普短视频，是内蒙古首次获得此荣誉，也是全国唯一地市级科协得此荣誉。第2期作品《乌审走马竞技》全网播放量超过250万次，在第二届科普内蒙古短视频大赛获得三等奖。第3期作品《鄂尔多斯奶酒酿造技艺》获得广泛关注。制作原创科普宣传视频《有限空间》《科普大集》，全网播放量超800万次。全网发布“百嘎丽”品牌同名MV、原创视频《五大人群同唱&lt;百嘎丽&gt;》。开发“百嘎丽”小程序。制作“百嘎丽”绘本，正在编写科普读物。《“百嘎丽”成长记》在人民网、新华网、学习强国等主流媒体刊登。</w:t>
      </w:r>
    </w:p>
    <w:p w14:paraId="22809201">
      <w:pPr>
        <w:widowControl/>
        <w:spacing w:before="240" w:after="24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二）助力科技创新有形有效。搭建学术交流平台。举办“百嘎丽”海智学术会议及海智专家行活动，首次在园区开展学术会议。召开华北五省（市、区）老科协第十次工作交流会、市生态文明建设研究与促进会会员大会等，相关领域科技人才汇聚一堂谋发展、话未来。全力支持全市学会开展交流活动，市气象学会获批内蒙古自治区自然基金项目1项、自治区气象局科技创新项目3项，申报市级重点研发项目6项、科普项目1项，征集自立科研项目申报书24项；市生态文明建设研究会围绕土壤改造、水污染治理等方面开展课题研究，编写了《鄂尔多斯市大宗工业固体废物处置利用技术推广应用研究报告》《鄂尔多斯市矿区生态修复调查研究报告》；市护理学会、市口腔医学会分别举办2024年学术交流年会。科技助力产业发展。承办中国科协高层次人才国情考察活动，11名院士专家走进鄂尔多斯赋能高质量发展（内蒙古首次成功申请，也是全国首批承办活动的3个地级市之一）。召开院士专家赋能暖城高质量发展座谈会，精准对接技术需求，促进产业与技术深度融合。召开“科创暖新”科技工作者座谈会、“智汇暖城”科技人才建言献策座谈会，围绕新能源、新材料、生态环保等领域，为产业高质量发展建言献策。发挥联结纽带作用，促成一家国企与香港中文大学（深圳）的研究院合作，成立联合实验室及人才实训基地。</w:t>
      </w:r>
    </w:p>
    <w:p w14:paraId="58F049FC">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val="en-US" w:eastAsia="zh-CN"/>
        </w:rPr>
        <w:t>1.对全面预算绩效管理的内涵实质缺乏科学认识，2.对全面预算绩效和财务预算认识不清</w:t>
      </w:r>
      <w:r>
        <w:rPr>
          <w:rFonts w:hint="eastAsia" w:ascii="仿宋_GB2312" w:hAnsi="仿宋_GB2312" w:eastAsia="仿宋_GB2312" w:cs="仿宋_GB2312"/>
          <w:color w:val="000000"/>
          <w:kern w:val="0"/>
          <w:sz w:val="27"/>
          <w:szCs w:val="27"/>
        </w:rPr>
        <w:t>。</w:t>
      </w:r>
    </w:p>
    <w:p w14:paraId="61133470">
      <w:pPr>
        <w:keepNext w:val="0"/>
        <w:keepLines w:val="0"/>
        <w:pageBreakBefore w:val="0"/>
        <w:widowControl/>
        <w:numPr>
          <w:ilvl w:val="0"/>
          <w:numId w:val="0"/>
        </w:numPr>
        <w:kinsoku/>
        <w:wordWrap/>
        <w:overflowPunct/>
        <w:topLinePunct w:val="0"/>
        <w:autoSpaceDE/>
        <w:autoSpaceDN/>
        <w:bidi w:val="0"/>
        <w:adjustRightInd/>
        <w:snapToGrid/>
        <w:spacing w:before="240" w:after="240" w:line="360" w:lineRule="auto"/>
        <w:textAlignment w:val="auto"/>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下一步改进措施：</w:t>
      </w:r>
      <w:r>
        <w:rPr>
          <w:rFonts w:hint="eastAsia" w:ascii="仿宋_GB2312" w:hAnsi="仿宋_GB2312" w:eastAsia="仿宋_GB2312" w:cs="仿宋_GB2312"/>
          <w:color w:val="000000"/>
          <w:kern w:val="0"/>
          <w:sz w:val="27"/>
          <w:szCs w:val="27"/>
          <w:lang w:val="en-US" w:eastAsia="zh-CN"/>
        </w:rPr>
        <w:t>科学编制预算，提高目标执行率，增强严格执行预算的自觉性，切实做到依法理财，加强对财政专项资金的监督管理盒跟踪问政。</w:t>
      </w:r>
    </w:p>
    <w:p w14:paraId="1C717BB9">
      <w:pPr>
        <w:widowControl/>
        <w:spacing w:before="240" w:after="240"/>
        <w:rPr>
          <w:rFonts w:ascii="Times New Roman" w:hAnsi="Times New Roman" w:eastAsia="Times New Roman" w:cs="Times New Roman"/>
          <w:kern w:val="0"/>
          <w:sz w:val="24"/>
        </w:rPr>
      </w:pPr>
    </w:p>
    <w:p w14:paraId="22F841E2">
      <w:pPr>
        <w:widowControl/>
        <w:spacing w:before="240" w:after="240"/>
        <w:rPr>
          <w:rFonts w:ascii="Times New Roman" w:hAnsi="Times New Roman" w:eastAsia="Times New Roman" w:cs="Times New Roman"/>
          <w:kern w:val="0"/>
          <w:sz w:val="24"/>
        </w:rPr>
      </w:pPr>
    </w:p>
    <w:p w14:paraId="5F7E9C5C">
      <w:pPr>
        <w:widowControl/>
        <w:spacing w:before="240" w:after="240"/>
        <w:rPr>
          <w:rFonts w:ascii="Times New Roman" w:hAnsi="Times New Roman" w:eastAsia="Times New Roman" w:cs="Times New Roman"/>
          <w:kern w:val="0"/>
          <w:sz w:val="24"/>
        </w:rPr>
      </w:pPr>
    </w:p>
    <w:p w14:paraId="5D013EB6">
      <w:pPr>
        <w:widowControl/>
        <w:spacing w:before="240" w:after="240"/>
        <w:rPr>
          <w:rFonts w:ascii="Times New Roman" w:hAnsi="Times New Roman" w:eastAsia="Times New Roman" w:cs="Times New Roman"/>
          <w:kern w:val="0"/>
          <w:sz w:val="24"/>
        </w:rPr>
      </w:pPr>
    </w:p>
    <w:p w14:paraId="428C99B0">
      <w:pPr>
        <w:widowControl/>
        <w:spacing w:before="240" w:after="240"/>
        <w:rPr>
          <w:rFonts w:ascii="Times New Roman" w:hAnsi="Times New Roman" w:eastAsia="Times New Roman" w:cs="Times New Roman"/>
          <w:kern w:val="0"/>
          <w:sz w:val="24"/>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22860</wp:posOffset>
            </wp:positionV>
            <wp:extent cx="6176010" cy="8862060"/>
            <wp:effectExtent l="0" t="0" r="15240" b="15240"/>
            <wp:wrapSquare wrapText="bothSides"/>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6176010" cy="8862060"/>
                    </a:xfrm>
                    <a:prstGeom prst="rect">
                      <a:avLst/>
                    </a:prstGeom>
                    <a:noFill/>
                    <a:ln>
                      <a:noFill/>
                    </a:ln>
                  </pic:spPr>
                </pic:pic>
              </a:graphicData>
            </a:graphic>
          </wp:anchor>
        </w:drawing>
      </w:r>
    </w:p>
    <w:p w14:paraId="3121647E">
      <w:pPr>
        <w:widowControl/>
        <w:numPr>
          <w:ilvl w:val="0"/>
          <w:numId w:val="0"/>
        </w:numPr>
        <w:spacing w:before="240" w:after="240"/>
        <w:ind w:left="452" w:leftChars="0" w:firstLine="0" w:firstLineChars="0"/>
        <w:rPr>
          <w:rFonts w:ascii="仿宋_GB2312" w:hAnsi="仿宋_GB2312" w:eastAsia="仿宋_GB2312" w:cs="仿宋_GB2312"/>
          <w:color w:val="000000"/>
          <w:kern w:val="0"/>
          <w:sz w:val="27"/>
          <w:szCs w:val="27"/>
        </w:rPr>
      </w:pPr>
      <w:r>
        <w:rPr>
          <w:rFonts w:ascii="times_new_roman" w:hAnsi="times_new_roman" w:eastAsia="times_new_roman" w:cs="times_new_roman"/>
          <w:color w:val="000000"/>
          <w:kern w:val="0"/>
          <w:sz w:val="27"/>
          <w:szCs w:val="27"/>
          <w:lang w:val="en-US" w:eastAsia="zh-CN"/>
        </w:rPr>
        <w:t>2.</w:t>
      </w:r>
      <w:r>
        <w:rPr>
          <w:rFonts w:hint="eastAsia" w:ascii="仿宋_GB2312" w:hAnsi="仿宋_GB2312" w:eastAsia="仿宋_GB2312" w:cs="仿宋_GB2312"/>
          <w:color w:val="000000"/>
          <w:kern w:val="0"/>
          <w:sz w:val="27"/>
          <w:szCs w:val="27"/>
        </w:rPr>
        <w:t>党的建设、意识形态、改革调研工作经费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分。全年预算数为</w:t>
      </w:r>
      <w:r>
        <w:rPr>
          <w:rFonts w:hint="eastAsia" w:ascii="times_new_roman" w:hAnsi="times_new_roman" w:eastAsia="宋体" w:cs="times_new_roman"/>
          <w:color w:val="000000"/>
          <w:kern w:val="0"/>
          <w:sz w:val="27"/>
          <w:szCs w:val="27"/>
          <w:u w:val="single" w:color="000000"/>
          <w:lang w:val="en-US" w:eastAsia="zh-CN"/>
        </w:rPr>
        <w:t>10</w:t>
      </w:r>
      <w:r>
        <w:rPr>
          <w:rFonts w:ascii="仿宋_GB2312" w:hAnsi="仿宋_GB2312" w:eastAsia="仿宋_GB2312" w:cs="仿宋_GB2312"/>
          <w:color w:val="000000"/>
          <w:kern w:val="0"/>
          <w:sz w:val="27"/>
          <w:szCs w:val="27"/>
        </w:rPr>
        <w:t>万元，执行数为</w:t>
      </w:r>
      <w:r>
        <w:rPr>
          <w:rFonts w:hint="eastAsia" w:ascii="times_new_roman" w:hAnsi="times_new_roman" w:eastAsia="宋体" w:cs="times_new_roman"/>
          <w:color w:val="000000"/>
          <w:kern w:val="0"/>
          <w:sz w:val="27"/>
          <w:szCs w:val="27"/>
          <w:u w:val="single" w:color="000000"/>
          <w:lang w:val="en-US" w:eastAsia="zh-CN"/>
        </w:rPr>
        <w:t>10</w:t>
      </w:r>
      <w:r>
        <w:rPr>
          <w:rFonts w:ascii="仿宋_GB2312" w:hAnsi="仿宋_GB2312" w:eastAsia="仿宋_GB2312" w:cs="仿宋_GB2312"/>
          <w:color w:val="000000"/>
          <w:kern w:val="0"/>
          <w:sz w:val="27"/>
          <w:szCs w:val="27"/>
        </w:rPr>
        <w:t>万元，完成预算的</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rPr>
        <w:t>持之以恒以习近平新时代中国特色社会主义思想武装头脑、指导实践、推动工作，把学习党的二十大和二十届二中、三中全会精神贯穿始终，跟进学习习近平总书记重要讲话重要批示指示精神，最大限度画好科技工作者“同心圆”。巩固拓展学习贯彻习近平新时代中国特色社会主义思想主题教育成果，扎实开展党纪学习教育，实现科协系统党员干部党性教育全覆盖。圆满完成换届工作，召开鄂尔多斯市科协第五次代表大会，297名代表参加会议，会议规模历届最大；推动4所高校、9个园区、77个苏木乡镇科协全覆盖，强化科技工作者团结引领；创新工作模式，首次成立产业培育与人才服务、生态建设与农业科技等六个专委会，开展专委会活动7场，召开科技工作者座谈会6次，团结引领科技工作者的机制更加健全完善。链接学会资源，拜访国家级学会10个，举办国家级学术交流会议3场次，自治区级7场次，市级40场次，17家市直学会开展活动108场次，5家学会主动参与科协活动。聚焦铸牢中华民族共同体意识，举办铸牢中华民族共同体意识专题讲座，开展“凝心聚力心向党党建互融促发展”主题党日、民族政策宣讲，教育引导科协干部和广大科技工作者铭记“六句话”的事实和道理，坚决贯彻落实《关于全方位建设模范自治区的决定》。全面加强党的建设，深入推进“党建引领科普惠民”品牌创建，建立百嘎丽“1+2+N”党建联盟，联动市、旗、苏木镇三级科协组织，开展“感党恩听党话跟党走”主题党日、“凝聚人才力量共促产业发展”现场交流活动、庆祝中国共产党成立103周年系列活动。团结女科技工作者，举办了“巾帼心向党科创‘她’力量”、“科创暖新她力量”主题活动。与高校科协、企业科协共同开展“百嘎丽”政治引领主题活动、“凝心聚力心向党党建互融促发展”主题党日、“书香润党性阅读悟初心”读书分享会等活动。联合市红十字会、市残联等部门举办党纪学习教育专题讲座、学习贯彻党的二十届三中全会精神培训班，构建互帮互学、共创共建的党建工作格局。抓牢意识形态和网络意识形态工作，专题研究部署工作2次，开展意识形态领域风险和舆情隐患工作研判1次，开展意识形态工作督查1次，专题学习2次</w:t>
      </w:r>
      <w:r>
        <w:rPr>
          <w:rFonts w:ascii="仿宋_GB2312" w:hAnsi="仿宋_GB2312" w:eastAsia="仿宋_GB2312" w:cs="仿宋_GB2312"/>
          <w:color w:val="000000"/>
          <w:kern w:val="0"/>
          <w:sz w:val="27"/>
          <w:szCs w:val="27"/>
        </w:rPr>
        <w:t>。</w:t>
      </w:r>
    </w:p>
    <w:p w14:paraId="1BB30EB0">
      <w:pPr>
        <w:widowControl/>
        <w:numPr>
          <w:ilvl w:val="0"/>
          <w:numId w:val="0"/>
        </w:numPr>
        <w:spacing w:before="240" w:after="240"/>
        <w:ind w:left="452" w:leftChars="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val="en-US" w:eastAsia="zh-CN"/>
        </w:rPr>
        <w:t>1.对全面预算绩效管理的内涵实质缺乏科学认识，2.对全面预算绩效和财务预算认识不清</w:t>
      </w:r>
      <w:r>
        <w:rPr>
          <w:rFonts w:hint="eastAsia" w:ascii="仿宋_GB2312" w:hAnsi="仿宋_GB2312" w:eastAsia="仿宋_GB2312" w:cs="仿宋_GB2312"/>
          <w:color w:val="000000"/>
          <w:kern w:val="0"/>
          <w:sz w:val="27"/>
          <w:szCs w:val="27"/>
        </w:rPr>
        <w:t>。</w:t>
      </w:r>
    </w:p>
    <w:p w14:paraId="47773ECF">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下一步改进措施：</w:t>
      </w:r>
      <w:r>
        <w:rPr>
          <w:rFonts w:hint="eastAsia" w:ascii="仿宋_GB2312" w:hAnsi="仿宋_GB2312" w:eastAsia="仿宋_GB2312" w:cs="仿宋_GB2312"/>
          <w:color w:val="000000"/>
          <w:kern w:val="0"/>
          <w:sz w:val="27"/>
          <w:szCs w:val="27"/>
          <w:lang w:val="en-US" w:eastAsia="zh-CN"/>
        </w:rPr>
        <w:t>科学编制预算，提高目标执行率，增强严格执行预算的自觉性，切实做到依法理财，加强对财政专项资金的监督管理盒跟踪问政。</w:t>
      </w:r>
    </w:p>
    <w:p w14:paraId="1C1BF86F">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3B99B023">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3A80C9EF">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58507D15">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0749803C">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5675E686">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1ABFA203">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4E058157">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r>
        <w:drawing>
          <wp:anchor distT="0" distB="0" distL="114300" distR="114300" simplePos="0" relativeHeight="251660288" behindDoc="0" locked="0" layoutInCell="1" allowOverlap="1">
            <wp:simplePos x="0" y="0"/>
            <wp:positionH relativeFrom="column">
              <wp:posOffset>20320</wp:posOffset>
            </wp:positionH>
            <wp:positionV relativeFrom="paragraph">
              <wp:posOffset>78105</wp:posOffset>
            </wp:positionV>
            <wp:extent cx="6176010" cy="7466330"/>
            <wp:effectExtent l="0" t="0" r="15240" b="1270"/>
            <wp:wrapSquare wrapText="bothSides"/>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
                    <a:stretch>
                      <a:fillRect/>
                    </a:stretch>
                  </pic:blipFill>
                  <pic:spPr>
                    <a:xfrm>
                      <a:off x="0" y="0"/>
                      <a:ext cx="6176010" cy="7466330"/>
                    </a:xfrm>
                    <a:prstGeom prst="rect">
                      <a:avLst/>
                    </a:prstGeom>
                    <a:noFill/>
                    <a:ln>
                      <a:noFill/>
                    </a:ln>
                  </pic:spPr>
                </pic:pic>
              </a:graphicData>
            </a:graphic>
          </wp:anchor>
        </w:drawing>
      </w:r>
    </w:p>
    <w:p w14:paraId="59FA8D5E">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p>
    <w:p w14:paraId="458AEA5E">
      <w:pPr>
        <w:widowControl/>
        <w:spacing w:before="240" w:after="240"/>
        <w:rPr>
          <w:rFonts w:ascii="仿宋_GB2312" w:hAnsi="仿宋_GB2312" w:eastAsia="仿宋_GB2312" w:cs="仿宋_GB2312"/>
          <w:color w:val="000000"/>
          <w:kern w:val="0"/>
          <w:sz w:val="27"/>
          <w:szCs w:val="27"/>
        </w:rPr>
      </w:pPr>
    </w:p>
    <w:p w14:paraId="22DB287D">
      <w:pPr>
        <w:widowControl/>
        <w:numPr>
          <w:ilvl w:val="0"/>
          <w:numId w:val="0"/>
        </w:numPr>
        <w:spacing w:before="240" w:after="240"/>
        <w:ind w:left="452" w:leftChars="0" w:firstLine="0" w:firstLineChars="0"/>
        <w:rPr>
          <w:rFonts w:hint="eastAsia"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3</w:t>
      </w:r>
      <w:r>
        <w:rPr>
          <w:rFonts w:hint="eastAsia" w:ascii="仿宋_GB2312" w:hAnsi="仿宋_GB2312" w:eastAsia="仿宋_GB2312" w:cs="仿宋_GB2312"/>
          <w:color w:val="000000"/>
          <w:kern w:val="0"/>
          <w:sz w:val="27"/>
          <w:szCs w:val="27"/>
          <w:lang w:val="en-US" w:eastAsia="zh-CN" w:bidi="ar-SA"/>
        </w:rPr>
        <w:t>.</w:t>
      </w:r>
      <w:r>
        <w:rPr>
          <w:rFonts w:hint="eastAsia" w:ascii="仿宋_GB2312" w:hAnsi="仿宋_GB2312" w:eastAsia="仿宋_GB2312" w:cs="仿宋_GB2312"/>
          <w:color w:val="000000"/>
          <w:kern w:val="0"/>
          <w:sz w:val="27"/>
          <w:szCs w:val="27"/>
        </w:rPr>
        <w:t>新时代老年科技工作专项经费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分。全年预算数为</w:t>
      </w:r>
      <w:r>
        <w:rPr>
          <w:rFonts w:hint="eastAsia" w:ascii="times_new_roman" w:hAnsi="times_new_roman" w:eastAsia="宋体" w:cs="times_new_roman"/>
          <w:color w:val="000000"/>
          <w:kern w:val="0"/>
          <w:sz w:val="27"/>
          <w:szCs w:val="27"/>
          <w:u w:val="single" w:color="000000"/>
          <w:lang w:val="en-US" w:eastAsia="zh-CN"/>
        </w:rPr>
        <w:t>30</w:t>
      </w:r>
      <w:r>
        <w:rPr>
          <w:rFonts w:ascii="仿宋_GB2312" w:hAnsi="仿宋_GB2312" w:eastAsia="仿宋_GB2312" w:cs="仿宋_GB2312"/>
          <w:color w:val="000000"/>
          <w:kern w:val="0"/>
          <w:sz w:val="27"/>
          <w:szCs w:val="27"/>
        </w:rPr>
        <w:t>万元，执行数为</w:t>
      </w:r>
      <w:r>
        <w:rPr>
          <w:rFonts w:hint="eastAsia" w:ascii="times_new_roman" w:hAnsi="times_new_roman" w:eastAsia="宋体" w:cs="times_new_roman"/>
          <w:color w:val="000000"/>
          <w:kern w:val="0"/>
          <w:sz w:val="27"/>
          <w:szCs w:val="27"/>
          <w:u w:val="single" w:color="000000"/>
          <w:lang w:val="en-US" w:eastAsia="zh-CN"/>
        </w:rPr>
        <w:t>30</w:t>
      </w:r>
      <w:r>
        <w:rPr>
          <w:rFonts w:ascii="仿宋_GB2312" w:hAnsi="仿宋_GB2312" w:eastAsia="仿宋_GB2312" w:cs="仿宋_GB2312"/>
          <w:color w:val="000000"/>
          <w:kern w:val="0"/>
          <w:sz w:val="27"/>
          <w:szCs w:val="27"/>
        </w:rPr>
        <w:t>万元，完成预算的</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rPr>
        <w:t>2024年，鄂尔多斯市老年科学技术工作者协会在市委、市政府及上级科协的领导下，深入贯彻落实党的二十大精神，围绕科技兴蒙”战略和鄂尔多斯市“三个四”目标任务，充分发挥老科技工作者经验优势，在科技创新、生态治理、乡村振兴、科普服务等领域主动作为，为全市高质量发展贡献“银龄力量”。</w:t>
      </w:r>
    </w:p>
    <w:p w14:paraId="10D91343">
      <w:pPr>
        <w:widowControl/>
        <w:numPr>
          <w:ilvl w:val="0"/>
          <w:numId w:val="0"/>
        </w:numPr>
        <w:spacing w:before="240" w:after="240"/>
        <w:ind w:left="452" w:leftChars="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val="en-US" w:eastAsia="zh-CN"/>
        </w:rPr>
        <w:t>1.对全面预算绩效管理的内涵实质缺乏科学认识，2.对全面预算绩效和财务预算认识不清</w:t>
      </w:r>
      <w:r>
        <w:rPr>
          <w:rFonts w:hint="eastAsia" w:ascii="仿宋_GB2312" w:hAnsi="仿宋_GB2312" w:eastAsia="仿宋_GB2312" w:cs="仿宋_GB2312"/>
          <w:color w:val="000000"/>
          <w:kern w:val="0"/>
          <w:sz w:val="27"/>
          <w:szCs w:val="27"/>
        </w:rPr>
        <w:t>。</w:t>
      </w:r>
    </w:p>
    <w:p w14:paraId="0446B4FA">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下一步改进措施：</w:t>
      </w:r>
      <w:r>
        <w:rPr>
          <w:rFonts w:hint="eastAsia" w:ascii="仿宋_GB2312" w:hAnsi="仿宋_GB2312" w:eastAsia="仿宋_GB2312" w:cs="仿宋_GB2312"/>
          <w:color w:val="000000"/>
          <w:kern w:val="0"/>
          <w:sz w:val="27"/>
          <w:szCs w:val="27"/>
          <w:lang w:val="en-US" w:eastAsia="zh-CN"/>
        </w:rPr>
        <w:t>科学编制预算，提高目标执行率，增强严格执行预算的自觉性，切实做到依法理财，加强对财政专项资金的监督管理盒跟踪问政。</w:t>
      </w:r>
    </w:p>
    <w:p w14:paraId="675BEEC5">
      <w:pPr>
        <w:widowControl/>
        <w:spacing w:before="240" w:after="240"/>
        <w:rPr>
          <w:rFonts w:ascii="仿宋_GB2312" w:hAnsi="仿宋_GB2312" w:eastAsia="仿宋_GB2312" w:cs="仿宋_GB2312"/>
          <w:color w:val="000000"/>
          <w:kern w:val="0"/>
          <w:sz w:val="27"/>
          <w:szCs w:val="27"/>
        </w:rPr>
      </w:pPr>
    </w:p>
    <w:p w14:paraId="0640DFCA">
      <w:pPr>
        <w:widowControl/>
        <w:spacing w:before="240" w:after="240"/>
        <w:rPr>
          <w:rFonts w:ascii="仿宋_GB2312" w:hAnsi="仿宋_GB2312" w:eastAsia="仿宋_GB2312" w:cs="仿宋_GB2312"/>
          <w:color w:val="000000"/>
          <w:kern w:val="0"/>
          <w:sz w:val="27"/>
          <w:szCs w:val="27"/>
        </w:rPr>
      </w:pPr>
    </w:p>
    <w:p w14:paraId="152F39A7">
      <w:pPr>
        <w:widowControl/>
        <w:spacing w:before="240" w:after="240"/>
        <w:rPr>
          <w:rFonts w:ascii="仿宋_GB2312" w:hAnsi="仿宋_GB2312" w:eastAsia="仿宋_GB2312" w:cs="仿宋_GB2312"/>
          <w:color w:val="000000"/>
          <w:kern w:val="0"/>
          <w:sz w:val="27"/>
          <w:szCs w:val="27"/>
        </w:rPr>
      </w:pPr>
    </w:p>
    <w:p w14:paraId="6D83CCDC">
      <w:pPr>
        <w:widowControl/>
        <w:spacing w:before="240" w:after="240"/>
        <w:rPr>
          <w:rFonts w:ascii="仿宋_GB2312" w:hAnsi="仿宋_GB2312" w:eastAsia="仿宋_GB2312" w:cs="仿宋_GB2312"/>
          <w:color w:val="000000"/>
          <w:kern w:val="0"/>
          <w:sz w:val="27"/>
          <w:szCs w:val="27"/>
        </w:rPr>
      </w:pPr>
    </w:p>
    <w:p w14:paraId="55337F4F">
      <w:pPr>
        <w:widowControl/>
        <w:spacing w:before="240" w:after="240"/>
        <w:rPr>
          <w:rFonts w:ascii="仿宋_GB2312" w:hAnsi="仿宋_GB2312" w:eastAsia="仿宋_GB2312" w:cs="仿宋_GB2312"/>
          <w:color w:val="000000"/>
          <w:kern w:val="0"/>
          <w:sz w:val="27"/>
          <w:szCs w:val="27"/>
        </w:rPr>
      </w:pPr>
    </w:p>
    <w:p w14:paraId="28636849">
      <w:pPr>
        <w:widowControl/>
        <w:spacing w:before="240" w:after="240"/>
        <w:rPr>
          <w:rFonts w:ascii="仿宋_GB2312" w:hAnsi="仿宋_GB2312" w:eastAsia="仿宋_GB2312" w:cs="仿宋_GB2312"/>
          <w:color w:val="000000"/>
          <w:kern w:val="0"/>
          <w:sz w:val="27"/>
          <w:szCs w:val="27"/>
        </w:rPr>
      </w:pPr>
    </w:p>
    <w:p w14:paraId="7B1FDD1E">
      <w:pPr>
        <w:widowControl/>
        <w:spacing w:before="240" w:after="240"/>
        <w:rPr>
          <w:rFonts w:ascii="仿宋_GB2312" w:hAnsi="仿宋_GB2312" w:eastAsia="仿宋_GB2312" w:cs="仿宋_GB2312"/>
          <w:color w:val="000000"/>
          <w:kern w:val="0"/>
          <w:sz w:val="27"/>
          <w:szCs w:val="27"/>
        </w:rPr>
      </w:pPr>
    </w:p>
    <w:p w14:paraId="67FCC431">
      <w:pPr>
        <w:widowControl/>
        <w:spacing w:before="240" w:after="240"/>
        <w:rPr>
          <w:rFonts w:ascii="仿宋_GB2312" w:hAnsi="仿宋_GB2312" w:eastAsia="仿宋_GB2312" w:cs="仿宋_GB2312"/>
          <w:color w:val="000000"/>
          <w:kern w:val="0"/>
          <w:sz w:val="27"/>
          <w:szCs w:val="27"/>
        </w:rPr>
      </w:pPr>
      <w:r>
        <w:drawing>
          <wp:inline distT="0" distB="0" distL="114300" distR="114300">
            <wp:extent cx="6176010" cy="8227695"/>
            <wp:effectExtent l="0" t="0" r="15240" b="190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0"/>
                    <a:stretch>
                      <a:fillRect/>
                    </a:stretch>
                  </pic:blipFill>
                  <pic:spPr>
                    <a:xfrm>
                      <a:off x="0" y="0"/>
                      <a:ext cx="6176010" cy="8227695"/>
                    </a:xfrm>
                    <a:prstGeom prst="rect">
                      <a:avLst/>
                    </a:prstGeom>
                    <a:noFill/>
                    <a:ln>
                      <a:noFill/>
                    </a:ln>
                  </pic:spPr>
                </pic:pic>
              </a:graphicData>
            </a:graphic>
          </wp:inline>
        </w:drawing>
      </w:r>
    </w:p>
    <w:p w14:paraId="0A2632D2">
      <w:pPr>
        <w:widowControl/>
        <w:numPr>
          <w:ilvl w:val="0"/>
          <w:numId w:val="0"/>
        </w:numPr>
        <w:spacing w:before="240" w:after="240"/>
        <w:ind w:left="452" w:leftChars="0" w:firstLine="0" w:firstLineChars="0"/>
        <w:rPr>
          <w:rFonts w:hint="eastAsia"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4</w:t>
      </w:r>
      <w:r>
        <w:rPr>
          <w:rFonts w:hint="eastAsia" w:ascii="仿宋_GB2312" w:hAnsi="仿宋_GB2312" w:eastAsia="仿宋_GB2312" w:cs="仿宋_GB2312"/>
          <w:color w:val="000000"/>
          <w:kern w:val="0"/>
          <w:sz w:val="27"/>
          <w:szCs w:val="27"/>
          <w:lang w:val="en-US" w:eastAsia="zh-CN" w:bidi="ar-SA"/>
        </w:rPr>
        <w:t>.</w:t>
      </w:r>
      <w:r>
        <w:rPr>
          <w:rFonts w:hint="eastAsia" w:ascii="仿宋_GB2312" w:hAnsi="仿宋_GB2312" w:eastAsia="仿宋_GB2312" w:cs="仿宋_GB2312"/>
          <w:color w:val="000000"/>
          <w:kern w:val="0"/>
          <w:sz w:val="27"/>
          <w:szCs w:val="27"/>
        </w:rPr>
        <w:t>鄂尔多斯市科学技术协会第五次代表大会专项经费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分。全年预算数为</w:t>
      </w:r>
      <w:r>
        <w:rPr>
          <w:rFonts w:hint="eastAsia" w:ascii="times_new_roman" w:hAnsi="times_new_roman" w:eastAsia="宋体" w:cs="times_new_roman"/>
          <w:color w:val="000000"/>
          <w:kern w:val="0"/>
          <w:sz w:val="27"/>
          <w:szCs w:val="27"/>
          <w:u w:val="single" w:color="000000"/>
          <w:lang w:val="en-US" w:eastAsia="zh-CN"/>
        </w:rPr>
        <w:t>21.84</w:t>
      </w:r>
      <w:r>
        <w:rPr>
          <w:rFonts w:ascii="仿宋_GB2312" w:hAnsi="仿宋_GB2312" w:eastAsia="仿宋_GB2312" w:cs="仿宋_GB2312"/>
          <w:color w:val="000000"/>
          <w:kern w:val="0"/>
          <w:sz w:val="27"/>
          <w:szCs w:val="27"/>
        </w:rPr>
        <w:t>万元，执行数为</w:t>
      </w:r>
      <w:r>
        <w:rPr>
          <w:rFonts w:hint="eastAsia" w:ascii="times_new_roman" w:hAnsi="times_new_roman" w:eastAsia="宋体" w:cs="times_new_roman"/>
          <w:color w:val="000000"/>
          <w:kern w:val="0"/>
          <w:sz w:val="27"/>
          <w:szCs w:val="27"/>
          <w:u w:val="single" w:color="000000"/>
          <w:lang w:val="en-US" w:eastAsia="zh-CN"/>
        </w:rPr>
        <w:t>21.83</w:t>
      </w:r>
      <w:r>
        <w:rPr>
          <w:rFonts w:ascii="仿宋_GB2312" w:hAnsi="仿宋_GB2312" w:eastAsia="仿宋_GB2312" w:cs="仿宋_GB2312"/>
          <w:color w:val="000000"/>
          <w:kern w:val="0"/>
          <w:sz w:val="27"/>
          <w:szCs w:val="27"/>
        </w:rPr>
        <w:t>万元，完成预算的</w:t>
      </w:r>
      <w:r>
        <w:rPr>
          <w:rFonts w:hint="eastAsia" w:ascii="times_new_roman" w:hAnsi="times_new_roman" w:eastAsia="宋体" w:cs="times_new_roman"/>
          <w:color w:val="000000"/>
          <w:kern w:val="0"/>
          <w:sz w:val="27"/>
          <w:szCs w:val="27"/>
          <w:u w:val="single" w:color="000000"/>
          <w:lang w:val="en-US" w:eastAsia="zh-CN"/>
        </w:rPr>
        <w:t>99.95</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rPr>
        <w:t>大会选举产生了市科协新一届领导机构。敖日格乐当选市科协第五届委员会主席，王明培、吕勇、折占飞、张玉萍、张晨曦、张燕、陈丽敏、杭刚、尚秀珍、罗青山、金良、郑玉峰、贾汝敬、高丽忠、戴国强当选为市科协第五届委员会副主席，丁玲等33名同志当选为市科协第五届委员会常务委员。</w:t>
      </w:r>
    </w:p>
    <w:p w14:paraId="0FD7D622">
      <w:pPr>
        <w:widowControl/>
        <w:numPr>
          <w:ilvl w:val="0"/>
          <w:numId w:val="0"/>
        </w:numPr>
        <w:spacing w:before="240" w:after="240"/>
        <w:ind w:left="452" w:leftChars="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val="en-US" w:eastAsia="zh-CN"/>
        </w:rPr>
        <w:t>1.对全面预算绩效管理的内涵实质缺乏科学认识，2.对全面预算绩效和财务预算认识不清</w:t>
      </w:r>
      <w:r>
        <w:rPr>
          <w:rFonts w:hint="eastAsia" w:ascii="仿宋_GB2312" w:hAnsi="仿宋_GB2312" w:eastAsia="仿宋_GB2312" w:cs="仿宋_GB2312"/>
          <w:color w:val="000000"/>
          <w:kern w:val="0"/>
          <w:sz w:val="27"/>
          <w:szCs w:val="27"/>
        </w:rPr>
        <w:t>。</w:t>
      </w:r>
    </w:p>
    <w:p w14:paraId="3A1C1D22">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下一步改进措施：</w:t>
      </w:r>
      <w:r>
        <w:rPr>
          <w:rFonts w:hint="eastAsia" w:ascii="仿宋_GB2312" w:hAnsi="仿宋_GB2312" w:eastAsia="仿宋_GB2312" w:cs="仿宋_GB2312"/>
          <w:color w:val="000000"/>
          <w:kern w:val="0"/>
          <w:sz w:val="27"/>
          <w:szCs w:val="27"/>
          <w:lang w:val="en-US" w:eastAsia="zh-CN"/>
        </w:rPr>
        <w:t>科学编制预算，提高目标执行率，增强严格执行预算的自觉性，切实做到依法理财，加强对财政专项资金的监督管理盒跟踪问政。</w:t>
      </w:r>
    </w:p>
    <w:p w14:paraId="265C6333">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37D6D6B3">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54F7F5DC">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223FB85C">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525B355C">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464907EF">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35B20BE0">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5EA62006">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r>
        <w:drawing>
          <wp:anchor distT="0" distB="0" distL="114300" distR="114300" simplePos="0" relativeHeight="251661312" behindDoc="0" locked="0" layoutInCell="1" allowOverlap="1">
            <wp:simplePos x="0" y="0"/>
            <wp:positionH relativeFrom="column">
              <wp:posOffset>67945</wp:posOffset>
            </wp:positionH>
            <wp:positionV relativeFrom="paragraph">
              <wp:posOffset>49530</wp:posOffset>
            </wp:positionV>
            <wp:extent cx="6176010" cy="8371840"/>
            <wp:effectExtent l="0" t="0" r="15240" b="10160"/>
            <wp:wrapSquare wrapText="bothSides"/>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1"/>
                    <a:stretch>
                      <a:fillRect/>
                    </a:stretch>
                  </pic:blipFill>
                  <pic:spPr>
                    <a:xfrm>
                      <a:off x="0" y="0"/>
                      <a:ext cx="6176010" cy="8371840"/>
                    </a:xfrm>
                    <a:prstGeom prst="rect">
                      <a:avLst/>
                    </a:prstGeom>
                    <a:noFill/>
                    <a:ln>
                      <a:noFill/>
                    </a:ln>
                  </pic:spPr>
                </pic:pic>
              </a:graphicData>
            </a:graphic>
          </wp:anchor>
        </w:drawing>
      </w:r>
    </w:p>
    <w:p w14:paraId="65ED1B48">
      <w:pPr>
        <w:widowControl/>
        <w:numPr>
          <w:ilvl w:val="0"/>
          <w:numId w:val="0"/>
        </w:numPr>
        <w:spacing w:before="240" w:after="240"/>
        <w:ind w:left="452" w:leftChars="0" w:firstLine="0" w:firstLineChars="0"/>
        <w:rPr>
          <w:rFonts w:hint="eastAsia" w:ascii="仿宋_GB2312" w:hAnsi="仿宋_GB2312" w:eastAsia="仿宋_GB2312" w:cs="仿宋_GB2312"/>
          <w:color w:val="000000"/>
          <w:kern w:val="0"/>
          <w:sz w:val="27"/>
          <w:szCs w:val="27"/>
        </w:rPr>
      </w:pPr>
      <w:r>
        <w:rPr>
          <w:rFonts w:hint="eastAsia" w:ascii="times_new_roman" w:hAnsi="times_new_roman" w:eastAsia="times_new_roman" w:cs="times_new_roman"/>
          <w:color w:val="000000"/>
          <w:kern w:val="0"/>
          <w:sz w:val="27"/>
          <w:szCs w:val="27"/>
          <w:lang w:val="en-US" w:eastAsia="zh-CN"/>
        </w:rPr>
        <w:t>5</w:t>
      </w:r>
      <w:r>
        <w:rPr>
          <w:rFonts w:hint="eastAsia" w:ascii="仿宋_GB2312" w:hAnsi="仿宋_GB2312" w:eastAsia="仿宋_GB2312" w:cs="仿宋_GB2312"/>
          <w:color w:val="000000"/>
          <w:kern w:val="0"/>
          <w:sz w:val="27"/>
          <w:szCs w:val="27"/>
          <w:lang w:val="en-US" w:eastAsia="zh-CN" w:bidi="ar-SA"/>
        </w:rPr>
        <w:t>.</w:t>
      </w:r>
      <w:r>
        <w:rPr>
          <w:rFonts w:hint="eastAsia" w:ascii="仿宋_GB2312" w:hAnsi="仿宋_GB2312" w:eastAsia="仿宋_GB2312" w:cs="仿宋_GB2312"/>
          <w:color w:val="000000"/>
          <w:kern w:val="0"/>
          <w:sz w:val="27"/>
          <w:szCs w:val="27"/>
        </w:rPr>
        <w:t>2023年度全市县处级领导班子考核评优奖励经费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宋体"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分。全年预算数为</w:t>
      </w:r>
      <w:r>
        <w:rPr>
          <w:rFonts w:hint="eastAsia" w:ascii="times_new_roman" w:hAnsi="times_new_roman" w:eastAsia="宋体" w:cs="times_new_roman"/>
          <w:color w:val="000000"/>
          <w:kern w:val="0"/>
          <w:sz w:val="27"/>
          <w:szCs w:val="27"/>
          <w:u w:val="single" w:color="000000"/>
          <w:lang w:val="en-US" w:eastAsia="zh-CN"/>
        </w:rPr>
        <w:t>50</w:t>
      </w:r>
      <w:r>
        <w:rPr>
          <w:rFonts w:ascii="仿宋_GB2312" w:hAnsi="仿宋_GB2312" w:eastAsia="仿宋_GB2312" w:cs="仿宋_GB2312"/>
          <w:color w:val="000000"/>
          <w:kern w:val="0"/>
          <w:sz w:val="27"/>
          <w:szCs w:val="27"/>
        </w:rPr>
        <w:t>万元，执行数为</w:t>
      </w:r>
      <w:r>
        <w:rPr>
          <w:rFonts w:hint="eastAsia" w:ascii="times_new_roman" w:hAnsi="times_new_roman" w:eastAsia="宋体" w:cs="times_new_roman"/>
          <w:color w:val="000000"/>
          <w:kern w:val="0"/>
          <w:sz w:val="27"/>
          <w:szCs w:val="27"/>
          <w:u w:val="single" w:color="000000"/>
          <w:lang w:val="en-US" w:eastAsia="zh-CN"/>
        </w:rPr>
        <w:t>50</w:t>
      </w:r>
      <w:r>
        <w:rPr>
          <w:rFonts w:ascii="仿宋_GB2312" w:hAnsi="仿宋_GB2312" w:eastAsia="仿宋_GB2312" w:cs="仿宋_GB2312"/>
          <w:color w:val="000000"/>
          <w:kern w:val="0"/>
          <w:sz w:val="27"/>
          <w:szCs w:val="27"/>
        </w:rPr>
        <w:t>万元，完成预算的</w:t>
      </w:r>
      <w:r>
        <w:rPr>
          <w:rFonts w:hint="eastAsia" w:ascii="times_new_roman" w:hAnsi="times_new_roman" w:eastAsia="宋体" w:cs="times_new_roman"/>
          <w:color w:val="000000"/>
          <w:kern w:val="0"/>
          <w:sz w:val="27"/>
          <w:szCs w:val="27"/>
          <w:u w:val="single" w:color="000000"/>
          <w:lang w:val="en-US" w:eastAsia="zh-CN"/>
        </w:rPr>
        <w:t>99.95</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rPr>
        <w:t>市科协认真贯彻市委、市政府各项工作部署，全面履行“四服务”职责，以铸牢中华民族共同体意识为主线，聚焦办好“两件大事”，助力“三个四”目标任务，全市科协事业呈现出高质量发展态势，获得国家级荣誉表彰11个，自治区级荣誉表彰9个。</w:t>
      </w:r>
    </w:p>
    <w:p w14:paraId="112FE64D">
      <w:pPr>
        <w:widowControl/>
        <w:numPr>
          <w:ilvl w:val="0"/>
          <w:numId w:val="0"/>
        </w:numPr>
        <w:spacing w:before="240" w:after="240"/>
        <w:ind w:left="452" w:leftChars="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val="en-US" w:eastAsia="zh-CN"/>
        </w:rPr>
        <w:t>1.对全面预算绩效管理的内涵实质缺乏科学认识，2.对全面预算绩效和财务预算认识不清</w:t>
      </w:r>
      <w:r>
        <w:rPr>
          <w:rFonts w:hint="eastAsia" w:ascii="仿宋_GB2312" w:hAnsi="仿宋_GB2312" w:eastAsia="仿宋_GB2312" w:cs="仿宋_GB2312"/>
          <w:color w:val="000000"/>
          <w:kern w:val="0"/>
          <w:sz w:val="27"/>
          <w:szCs w:val="27"/>
        </w:rPr>
        <w:t>。</w:t>
      </w:r>
    </w:p>
    <w:p w14:paraId="6AD58384">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下一步改进措施：</w:t>
      </w:r>
      <w:r>
        <w:rPr>
          <w:rFonts w:hint="eastAsia" w:ascii="仿宋_GB2312" w:hAnsi="仿宋_GB2312" w:eastAsia="仿宋_GB2312" w:cs="仿宋_GB2312"/>
          <w:color w:val="000000"/>
          <w:kern w:val="0"/>
          <w:sz w:val="27"/>
          <w:szCs w:val="27"/>
          <w:lang w:val="en-US" w:eastAsia="zh-CN"/>
        </w:rPr>
        <w:t>科学编制预算，提高目标执行率，增强严格执行预算的自觉性，切实做到依法理财，加强对财政专项资金的监督管理盒跟踪问政。</w:t>
      </w:r>
    </w:p>
    <w:p w14:paraId="67B64EEB">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47717C29">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2FDAC930">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60A6DDE1">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58E8DC11">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69D5F962">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26B92886">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56EFE916">
      <w:pPr>
        <w:widowControl/>
        <w:numPr>
          <w:ilvl w:val="0"/>
          <w:numId w:val="0"/>
        </w:numPr>
        <w:spacing w:before="240" w:after="240"/>
        <w:ind w:left="452" w:leftChars="0"/>
        <w:rPr>
          <w:rFonts w:hint="eastAsia" w:ascii="仿宋_GB2312" w:hAnsi="仿宋_GB2312" w:eastAsia="仿宋_GB2312" w:cs="仿宋_GB2312"/>
          <w:color w:val="000000"/>
          <w:kern w:val="0"/>
          <w:sz w:val="27"/>
          <w:szCs w:val="27"/>
          <w:lang w:val="en-US" w:eastAsia="zh-CN"/>
        </w:rPr>
      </w:pPr>
    </w:p>
    <w:p w14:paraId="6B179EF3">
      <w:pPr>
        <w:widowControl/>
        <w:numPr>
          <w:ilvl w:val="0"/>
          <w:numId w:val="0"/>
        </w:numPr>
        <w:spacing w:before="240" w:after="240"/>
        <w:ind w:left="452" w:leftChars="0"/>
        <w:rPr>
          <w:rFonts w:ascii="Times New Roman" w:hAnsi="Times New Roman" w:eastAsia="Times New Roman" w:cs="Times New Roman"/>
          <w:kern w:val="0"/>
          <w:sz w:val="24"/>
        </w:rPr>
      </w:pPr>
      <w:r>
        <w:drawing>
          <wp:anchor distT="0" distB="0" distL="114300" distR="114300" simplePos="0" relativeHeight="251662336" behindDoc="0" locked="0" layoutInCell="1" allowOverlap="1">
            <wp:simplePos x="0" y="0"/>
            <wp:positionH relativeFrom="column">
              <wp:posOffset>-17780</wp:posOffset>
            </wp:positionH>
            <wp:positionV relativeFrom="paragraph">
              <wp:posOffset>30480</wp:posOffset>
            </wp:positionV>
            <wp:extent cx="6176010" cy="6937375"/>
            <wp:effectExtent l="0" t="0" r="15240" b="15875"/>
            <wp:wrapSquare wrapText="bothSides"/>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2"/>
                    <a:stretch>
                      <a:fillRect/>
                    </a:stretch>
                  </pic:blipFill>
                  <pic:spPr>
                    <a:xfrm>
                      <a:off x="0" y="0"/>
                      <a:ext cx="6176010" cy="6937375"/>
                    </a:xfrm>
                    <a:prstGeom prst="rect">
                      <a:avLst/>
                    </a:prstGeom>
                    <a:noFill/>
                    <a:ln>
                      <a:noFill/>
                    </a:ln>
                  </pic:spPr>
                </pic:pic>
              </a:graphicData>
            </a:graphic>
          </wp:anchor>
        </w:drawing>
      </w:r>
      <w:r>
        <w:rPr>
          <w:rFonts w:ascii="kai_ti_gb2312" w:hAnsi="kai_ti_gb2312" w:eastAsia="kai_ti_gb2312" w:cs="kai_ti_gb2312"/>
          <w:b/>
          <w:bCs/>
          <w:kern w:val="0"/>
          <w:sz w:val="27"/>
          <w:szCs w:val="27"/>
        </w:rPr>
        <w:t>  （三）部门项目绩效评价结果。</w:t>
      </w:r>
    </w:p>
    <w:p w14:paraId="1D5A2332">
      <w:pPr>
        <w:widowControl/>
        <w:spacing w:before="240" w:after="240"/>
        <w:jc w:val="left"/>
        <w:rPr>
          <w:rFonts w:hint="eastAsia" w:ascii="Times New Roman" w:hAnsi="Times New Roman" w:eastAsia="仿宋_GB2312" w:cs="Times New Roman"/>
          <w:kern w:val="0"/>
          <w:sz w:val="24"/>
          <w:lang w:val="en-US" w:eastAsia="zh-CN"/>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无。</w:t>
      </w:r>
    </w:p>
    <w:p w14:paraId="54F65E14">
      <w:pPr>
        <w:widowControl/>
        <w:spacing w:before="240" w:after="240"/>
        <w:jc w:val="left"/>
        <w:rPr>
          <w:rFonts w:ascii="Times New Roman" w:hAnsi="Times New Roman" w:eastAsia="Times New Roman" w:cs="Times New Roman"/>
          <w:kern w:val="0"/>
          <w:sz w:val="24"/>
        </w:rPr>
      </w:pPr>
    </w:p>
    <w:p w14:paraId="1C9166A8">
      <w:pPr>
        <w:widowControl/>
        <w:spacing w:before="240" w:after="240"/>
        <w:jc w:val="left"/>
        <w:rPr>
          <w:rFonts w:ascii="Times New Roman" w:hAnsi="Times New Roman" w:eastAsia="Times New Roman" w:cs="Times New Roman"/>
          <w:kern w:val="0"/>
          <w:sz w:val="24"/>
        </w:rPr>
      </w:pPr>
    </w:p>
    <w:p w14:paraId="7F4058C4">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第三部分名词解释</w:t>
      </w:r>
    </w:p>
    <w:p w14:paraId="33136C9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14:paraId="1C4F798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二、上级补助收入：</w:t>
      </w:r>
      <w:r>
        <w:rPr>
          <w:rFonts w:ascii="仿宋_GB2312" w:hAnsi="仿宋_GB2312" w:eastAsia="仿宋_GB2312" w:cs="仿宋_GB2312"/>
          <w:kern w:val="0"/>
          <w:sz w:val="27"/>
          <w:szCs w:val="27"/>
        </w:rPr>
        <w:t>指事业单位从主管部门和上级单位取得的非财政补助收入。</w:t>
      </w:r>
    </w:p>
    <w:p w14:paraId="710068F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14:paraId="47BBD44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四、事业收入：</w:t>
      </w:r>
      <w:r>
        <w:rPr>
          <w:rFonts w:ascii="仿宋_GB2312" w:hAnsi="仿宋_GB2312" w:eastAsia="仿宋_GB2312" w:cs="仿宋_GB2312"/>
          <w:kern w:val="0"/>
          <w:sz w:val="27"/>
          <w:szCs w:val="27"/>
        </w:rPr>
        <w:t>指事业单位开展专业业务活动及其辅助活动取得的收入。</w:t>
      </w:r>
    </w:p>
    <w:p w14:paraId="34F5AD4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14:paraId="0072817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六、附属单位上缴收入：</w:t>
      </w:r>
      <w:r>
        <w:rPr>
          <w:rFonts w:ascii="仿宋_GB2312" w:hAnsi="仿宋_GB2312" w:eastAsia="仿宋_GB2312" w:cs="仿宋_GB2312"/>
          <w:kern w:val="0"/>
          <w:sz w:val="27"/>
          <w:szCs w:val="27"/>
        </w:rPr>
        <w:t>指事业单位取得附属独立核算单位按照有关规定上缴的收入。</w:t>
      </w:r>
    </w:p>
    <w:p w14:paraId="2A2261D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14:paraId="6D50729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14:paraId="77BBC8B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九、年初结转和结余：</w:t>
      </w:r>
      <w:r>
        <w:rPr>
          <w:rFonts w:ascii="仿宋_GB2312" w:hAnsi="仿宋_GB2312" w:eastAsia="仿宋_GB2312" w:cs="仿宋_GB2312"/>
          <w:kern w:val="0"/>
          <w:sz w:val="27"/>
          <w:szCs w:val="27"/>
        </w:rPr>
        <w:t>指单位上年结转本年使用的基本支出结转、项目支出结转和结余、经营结余。</w:t>
      </w:r>
    </w:p>
    <w:p w14:paraId="2D9502E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14:paraId="4E361A0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十一、年末结转和结余资金：</w:t>
      </w:r>
      <w:r>
        <w:rPr>
          <w:rFonts w:ascii="仿宋_GB2312" w:hAnsi="仿宋_GB2312" w:eastAsia="仿宋_GB2312" w:cs="仿宋_GB2312"/>
          <w:kern w:val="0"/>
          <w:sz w:val="27"/>
          <w:szCs w:val="27"/>
        </w:rPr>
        <w:t>指单位结转下年的基本支出结转、项目支出结转和结余、经营结余。</w:t>
      </w:r>
    </w:p>
    <w:p w14:paraId="2F56791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14:paraId="3EE08E8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十三、项目支出：</w:t>
      </w:r>
      <w:r>
        <w:rPr>
          <w:rFonts w:ascii="仿宋_GB2312" w:hAnsi="仿宋_GB2312" w:eastAsia="仿宋_GB2312" w:cs="仿宋_GB2312"/>
          <w:kern w:val="0"/>
          <w:sz w:val="27"/>
          <w:szCs w:val="27"/>
        </w:rPr>
        <w:t>指在为完成特定的行政工作任务或事业发展目标所发生的支出。</w:t>
      </w:r>
    </w:p>
    <w:p w14:paraId="7E0F228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十四、上缴上级支出：</w:t>
      </w:r>
      <w:r>
        <w:rPr>
          <w:rFonts w:ascii="仿宋_GB2312" w:hAnsi="仿宋_GB2312" w:eastAsia="仿宋_GB2312" w:cs="仿宋_GB2312"/>
          <w:kern w:val="0"/>
          <w:sz w:val="27"/>
          <w:szCs w:val="27"/>
        </w:rPr>
        <w:t>指事业单位按照财政部门和主管部门的规定上缴上级单位的支出。</w:t>
      </w:r>
    </w:p>
    <w:p w14:paraId="0259D80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十五、经营支出：</w:t>
      </w:r>
      <w:r>
        <w:rPr>
          <w:rFonts w:ascii="仿宋_GB2312" w:hAnsi="仿宋_GB2312" w:eastAsia="仿宋_GB2312" w:cs="仿宋_GB2312"/>
          <w:kern w:val="0"/>
          <w:sz w:val="27"/>
          <w:szCs w:val="27"/>
        </w:rPr>
        <w:t>指事业单位在专业业务活动及其辅助活动之外开展非独立核算经营活动发生的支出。</w:t>
      </w:r>
    </w:p>
    <w:p w14:paraId="579D924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十六、对附属单位补助支出：</w:t>
      </w:r>
      <w:r>
        <w:rPr>
          <w:rFonts w:ascii="仿宋_GB2312" w:hAnsi="仿宋_GB2312" w:eastAsia="仿宋_GB2312" w:cs="仿宋_GB2312"/>
          <w:kern w:val="0"/>
          <w:sz w:val="27"/>
          <w:szCs w:val="27"/>
        </w:rPr>
        <w:t>指事业单位用财政拨款收入之外的收入对附属单位补助发生的支出。</w:t>
      </w:r>
    </w:p>
    <w:p w14:paraId="06C7D4C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十七、“三公”经费：</w:t>
      </w:r>
      <w:r>
        <w:rPr>
          <w:rFonts w:ascii="仿宋_GB2312" w:hAnsi="仿宋_GB2312" w:eastAsia="仿宋_GB2312" w:cs="仿宋_GB2312"/>
          <w:kern w:val="0"/>
          <w:sz w:val="27"/>
          <w:szCs w:val="27"/>
        </w:rPr>
        <w:t>指</w:t>
      </w:r>
      <w:r>
        <w:rPr>
          <w:rFonts w:hint="eastAsia" w:ascii="仿宋_GB2312" w:hAnsi="仿宋_GB2312" w:eastAsia="仿宋_GB2312" w:cs="仿宋_GB2312"/>
          <w:kern w:val="0"/>
          <w:sz w:val="27"/>
          <w:szCs w:val="27"/>
          <w:lang w:eastAsia="zh-CN"/>
        </w:rPr>
        <w:t>部门</w:t>
      </w:r>
      <w:r>
        <w:rPr>
          <w:rFonts w:ascii="仿宋_GB2312" w:hAnsi="仿宋_GB2312" w:eastAsia="仿宋_GB2312" w:cs="仿宋_GB2312"/>
          <w:kern w:val="0"/>
          <w:sz w:val="27"/>
          <w:szCs w:val="27"/>
        </w:rPr>
        <w:t>用财政拨款安排的因公出国（境）费、公务用车购置及运行维护费和公务接待费。其中，因公出国（境）费反映</w:t>
      </w:r>
      <w:r>
        <w:rPr>
          <w:rFonts w:hint="eastAsia" w:ascii="仿宋_GB2312" w:hAnsi="仿宋_GB2312" w:eastAsia="仿宋_GB2312" w:cs="仿宋_GB2312"/>
          <w:kern w:val="0"/>
          <w:sz w:val="27"/>
          <w:szCs w:val="27"/>
          <w:lang w:eastAsia="zh-CN"/>
        </w:rPr>
        <w:t>部门</w:t>
      </w:r>
      <w:r>
        <w:rPr>
          <w:rFonts w:ascii="仿宋_GB2312" w:hAnsi="仿宋_GB2312" w:eastAsia="仿宋_GB2312" w:cs="仿宋_GB2312"/>
          <w:kern w:val="0"/>
          <w:sz w:val="27"/>
          <w:szCs w:val="27"/>
        </w:rPr>
        <w:t>)公务出国（境）的国际旅费、国外城市间交通费、住宿费、伙食费、培训费、公杂费等支出；公务用车购置及运行维护费反映</w:t>
      </w:r>
      <w:r>
        <w:rPr>
          <w:rFonts w:hint="eastAsia" w:ascii="仿宋_GB2312" w:hAnsi="仿宋_GB2312" w:eastAsia="仿宋_GB2312" w:cs="仿宋_GB2312"/>
          <w:kern w:val="0"/>
          <w:sz w:val="27"/>
          <w:szCs w:val="27"/>
          <w:lang w:eastAsia="zh-CN"/>
        </w:rPr>
        <w:t>部门</w:t>
      </w:r>
      <w:r>
        <w:rPr>
          <w:rFonts w:ascii="仿宋_GB2312" w:hAnsi="仿宋_GB2312" w:eastAsia="仿宋_GB2312" w:cs="仿宋_GB2312"/>
          <w:kern w:val="0"/>
          <w:sz w:val="27"/>
          <w:szCs w:val="27"/>
        </w:rPr>
        <w:t>公务用车购置支出（含车辆购置税、牌照费）以及按规定保留的公务用车燃料费、维修费、过路过桥费、保险费、安全奖励费用等支出；公务接待费反映</w:t>
      </w:r>
      <w:r>
        <w:rPr>
          <w:rFonts w:hint="eastAsia" w:ascii="仿宋_GB2312" w:hAnsi="仿宋_GB2312" w:eastAsia="仿宋_GB2312" w:cs="仿宋_GB2312"/>
          <w:kern w:val="0"/>
          <w:sz w:val="27"/>
          <w:szCs w:val="27"/>
          <w:lang w:eastAsia="zh-CN"/>
        </w:rPr>
        <w:t>部门</w:t>
      </w:r>
      <w:r>
        <w:rPr>
          <w:rFonts w:ascii="仿宋_GB2312" w:hAnsi="仿宋_GB2312" w:eastAsia="仿宋_GB2312" w:cs="仿宋_GB2312"/>
          <w:kern w:val="0"/>
          <w:sz w:val="27"/>
          <w:szCs w:val="27"/>
        </w:rPr>
        <w:t>按规定开支的各类公务接待（含外宾接待）费用。</w:t>
      </w:r>
    </w:p>
    <w:p w14:paraId="700B78E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十八、机关运行经费：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14:paraId="367EF81A">
      <w:pPr>
        <w:widowControl/>
        <w:spacing w:before="240" w:after="240"/>
        <w:jc w:val="left"/>
        <w:rPr>
          <w:rFonts w:ascii="Times New Roman" w:hAnsi="Times New Roman" w:eastAsia="Times New Roman" w:cs="Times New Roman"/>
          <w:kern w:val="0"/>
          <w:sz w:val="24"/>
        </w:rPr>
      </w:pPr>
    </w:p>
    <w:p w14:paraId="169A9109">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第四部分决算公开联系方式及信息反馈渠道</w:t>
      </w:r>
    </w:p>
    <w:p w14:paraId="1BFA8322">
      <w:pPr>
        <w:widowControl/>
        <w:spacing w:before="240" w:after="240"/>
        <w:jc w:val="left"/>
        <w:rPr>
          <w:rFonts w:ascii="Times New Roman" w:hAnsi="Times New Roman" w:eastAsia="Times New Roman" w:cs="Times New Roman"/>
          <w:kern w:val="0"/>
          <w:sz w:val="24"/>
        </w:rPr>
      </w:pPr>
    </w:p>
    <w:p w14:paraId="291BFCB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w:t>
      </w:r>
      <w:r>
        <w:rPr>
          <w:rFonts w:hint="eastAsia" w:ascii="仿宋_GB2312" w:hAnsi="仿宋_GB2312" w:eastAsia="仿宋_GB2312" w:cs="仿宋_GB2312"/>
          <w:kern w:val="0"/>
          <w:sz w:val="27"/>
          <w:szCs w:val="27"/>
          <w:lang w:eastAsia="zh-CN"/>
        </w:rPr>
        <w:t>部门</w:t>
      </w:r>
      <w:r>
        <w:rPr>
          <w:rFonts w:ascii="仿宋_GB2312" w:hAnsi="仿宋_GB2312" w:eastAsia="仿宋_GB2312" w:cs="仿宋_GB2312"/>
          <w:kern w:val="0"/>
          <w:sz w:val="27"/>
          <w:szCs w:val="27"/>
        </w:rPr>
        <w:t>决算公开信息反馈和联系方式：</w:t>
      </w:r>
    </w:p>
    <w:p w14:paraId="2F76513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ascii="仿宋_GB2312" w:hAnsi="仿宋_GB2312" w:eastAsia="仿宋_GB2312" w:cs="仿宋_GB2312"/>
          <w:kern w:val="0"/>
          <w:sz w:val="27"/>
          <w:szCs w:val="27"/>
          <w:u w:val="single"/>
        </w:rPr>
        <w:t>许国锋 </w:t>
      </w:r>
      <w:r>
        <w:rPr>
          <w:rFonts w:ascii="仿宋_GB2312" w:hAnsi="仿宋_GB2312" w:eastAsia="仿宋_GB2312" w:cs="仿宋_GB2312"/>
          <w:kern w:val="0"/>
          <w:sz w:val="27"/>
          <w:szCs w:val="27"/>
        </w:rPr>
        <w:t>          联系电话：</w:t>
      </w:r>
      <w:r>
        <w:rPr>
          <w:rFonts w:ascii="仿宋_GB2312" w:hAnsi="仿宋_GB2312" w:eastAsia="仿宋_GB2312" w:cs="仿宋_GB2312"/>
          <w:kern w:val="0"/>
          <w:sz w:val="27"/>
          <w:szCs w:val="27"/>
          <w:u w:val="single"/>
        </w:rPr>
        <w:t>0477-8581186- </w:t>
      </w:r>
    </w:p>
    <w:p w14:paraId="7687A3CB">
      <w:pPr>
        <w:widowControl/>
        <w:spacing w:before="240" w:after="240"/>
        <w:jc w:val="left"/>
        <w:rPr>
          <w:rFonts w:ascii="Times New Roman" w:hAnsi="Times New Roman" w:eastAsia="Times New Roman" w:cs="Times New Roman"/>
          <w:kern w:val="0"/>
          <w:sz w:val="24"/>
        </w:rPr>
      </w:pPr>
    </w:p>
    <w:p w14:paraId="76AC6FFC">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w:t>
      </w:r>
      <w:r>
        <w:rPr>
          <w:rFonts w:hint="eastAsia" w:ascii="fang_zheng_xiao_biao_song_ti" w:hAnsi="fang_zheng_xiao_biao_song_ti" w:eastAsia="宋体" w:cs="fang_zheng_xiao_biao_song_ti"/>
          <w:kern w:val="0"/>
          <w:sz w:val="36"/>
          <w:szCs w:val="36"/>
          <w:lang w:eastAsia="zh-CN"/>
        </w:rPr>
        <w:t>部门</w:t>
      </w:r>
      <w:r>
        <w:rPr>
          <w:rFonts w:ascii="fang_zheng_xiao_biao_song_ti" w:hAnsi="fang_zheng_xiao_biao_song_ti" w:eastAsia="fang_zheng_xiao_biao_song_ti" w:cs="fang_zheng_xiao_biao_song_ti"/>
          <w:kern w:val="0"/>
          <w:sz w:val="36"/>
          <w:szCs w:val="36"/>
        </w:rPr>
        <w:t>决算表</w:t>
      </w:r>
    </w:p>
    <w:p w14:paraId="1AFB8575">
      <w:pPr>
        <w:widowControl/>
        <w:spacing w:before="240" w:after="240"/>
        <w:jc w:val="center"/>
        <w:rPr>
          <w:rFonts w:ascii="Times New Roman" w:hAnsi="Times New Roman" w:eastAsia="Times New Roman" w:cs="Times New Roman"/>
          <w:kern w:val="0"/>
          <w:sz w:val="24"/>
        </w:rPr>
      </w:pPr>
    </w:p>
    <w:p w14:paraId="3671560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见附件。</w:t>
      </w:r>
    </w:p>
    <w:p w14:paraId="372576B5">
      <w:pPr>
        <w:widowControl/>
        <w:spacing w:before="240" w:after="240"/>
        <w:jc w:val="left"/>
        <w:rPr>
          <w:rFonts w:ascii="Times New Roman" w:hAnsi="Times New Roman" w:eastAsia="Times New Roman" w:cs="Times New Roman"/>
          <w:kern w:val="0"/>
          <w:sz w:val="24"/>
        </w:rPr>
      </w:pPr>
    </w:p>
    <w:p w14:paraId="30541C95">
      <w:pPr>
        <w:widowControl/>
        <w:spacing w:before="240" w:after="240"/>
        <w:jc w:val="left"/>
        <w:rPr>
          <w:rFonts w:ascii="Times New Roman" w:hAnsi="Times New Roman" w:eastAsia="Times New Roman" w:cs="Times New Roman"/>
          <w:kern w:val="0"/>
          <w:sz w:val="24"/>
        </w:rPr>
      </w:pPr>
    </w:p>
    <w:p w14:paraId="32A49912">
      <w:pPr>
        <w:widowControl/>
        <w:spacing w:before="240" w:after="240"/>
        <w:jc w:val="left"/>
        <w:rPr>
          <w:rFonts w:ascii="Times New Roman" w:hAnsi="Times New Roman" w:eastAsia="Times New Roman" w:cs="Times New Roman"/>
          <w:kern w:val="0"/>
          <w:sz w:val="24"/>
        </w:rPr>
      </w:pPr>
    </w:p>
    <w:p w14:paraId="3D6E78F7">
      <w:pPr>
        <w:widowControl/>
        <w:spacing w:before="240" w:after="240"/>
        <w:jc w:val="left"/>
        <w:rPr>
          <w:rFonts w:ascii="Times New Roman" w:hAnsi="Times New Roman" w:eastAsia="Times New Roman" w:cs="Times New Roman"/>
          <w:kern w:val="0"/>
          <w:sz w:val="24"/>
        </w:rPr>
      </w:pPr>
    </w:p>
    <w:bookmarkEnd w:id="0"/>
    <w:p w14:paraId="064DC7E7">
      <w:pPr>
        <w:adjustRightInd w:val="0"/>
        <w:snapToGrid w:val="0"/>
        <w:rPr>
          <w:rFonts w:ascii="宋体" w:hAnsi="宋体"/>
          <w:b/>
          <w:sz w:val="32"/>
          <w:szCs w:val="32"/>
        </w:rPr>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_new_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_zheng_xiao_biao_song_ti">
    <w:altName w:val="Segoe Print"/>
    <w:panose1 w:val="00000000000000000000"/>
    <w:charset w:val="00"/>
    <w:family w:val="auto"/>
    <w:pitch w:val="default"/>
    <w:sig w:usb0="00000000" w:usb1="00000000" w:usb2="00000000" w:usb3="00000000" w:csb0="00000000" w:csb1="00000000"/>
  </w:font>
  <w:font w:name="kai_ti_gb2312">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65BB1">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D134">
    <w:pPr>
      <w:pStyle w:val="11"/>
      <w:jc w:val="center"/>
    </w:pPr>
    <w:r>
      <w:fldChar w:fldCharType="begin"/>
    </w:r>
    <w:r>
      <w:instrText xml:space="preserve"> PAGE   \* MERGEFORMAT </w:instrText>
    </w:r>
    <w:r>
      <w:fldChar w:fldCharType="separate"/>
    </w:r>
    <w:r>
      <w:rPr>
        <w:lang w:val="zh-CN"/>
      </w:rPr>
      <w:t>26</w:t>
    </w:r>
    <w:r>
      <w:rPr>
        <w:lang w:val="zh-CN"/>
      </w:rPr>
      <w:fldChar w:fldCharType="end"/>
    </w:r>
  </w:p>
  <w:p w14:paraId="2E0A9122">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BCF8EF"/>
    <w:multiLevelType w:val="singleLevel"/>
    <w:tmpl w:val="78BCF8EF"/>
    <w:lvl w:ilvl="0" w:tentative="0">
      <w:start w:val="3"/>
      <w:numFmt w:val="chineseCounting"/>
      <w:suff w:val="nothing"/>
      <w:lvlText w:val="%1、"/>
      <w:lvlJc w:val="left"/>
      <w:pPr>
        <w:ind w:left="122"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2B96468"/>
    <w:rsid w:val="0385459C"/>
    <w:rsid w:val="04326CA5"/>
    <w:rsid w:val="06EA3DDB"/>
    <w:rsid w:val="076646E5"/>
    <w:rsid w:val="0A821835"/>
    <w:rsid w:val="0AE147AE"/>
    <w:rsid w:val="0E2D1657"/>
    <w:rsid w:val="0FA10F9D"/>
    <w:rsid w:val="10ED3781"/>
    <w:rsid w:val="112F162A"/>
    <w:rsid w:val="11AE2F10"/>
    <w:rsid w:val="129E11D6"/>
    <w:rsid w:val="13E175CD"/>
    <w:rsid w:val="143D65B7"/>
    <w:rsid w:val="16ED6288"/>
    <w:rsid w:val="17B62B1E"/>
    <w:rsid w:val="187230D7"/>
    <w:rsid w:val="18860743"/>
    <w:rsid w:val="19550115"/>
    <w:rsid w:val="1AB377E9"/>
    <w:rsid w:val="1C5E5533"/>
    <w:rsid w:val="1C6568C1"/>
    <w:rsid w:val="1C673203"/>
    <w:rsid w:val="1CD04AD7"/>
    <w:rsid w:val="1D1327C1"/>
    <w:rsid w:val="1D7E5E8C"/>
    <w:rsid w:val="1F754469"/>
    <w:rsid w:val="221E7C3E"/>
    <w:rsid w:val="22AA17C4"/>
    <w:rsid w:val="22F6531B"/>
    <w:rsid w:val="290556B4"/>
    <w:rsid w:val="2AE8703B"/>
    <w:rsid w:val="2D7828F8"/>
    <w:rsid w:val="34486F54"/>
    <w:rsid w:val="34E00F20"/>
    <w:rsid w:val="352275ED"/>
    <w:rsid w:val="376932B2"/>
    <w:rsid w:val="384C6E5B"/>
    <w:rsid w:val="39946AF4"/>
    <w:rsid w:val="3ABD5DEE"/>
    <w:rsid w:val="3AEC66D3"/>
    <w:rsid w:val="3CC82828"/>
    <w:rsid w:val="3CF33D49"/>
    <w:rsid w:val="3D6A1B31"/>
    <w:rsid w:val="3DFF04CC"/>
    <w:rsid w:val="3FA94B93"/>
    <w:rsid w:val="41432DC5"/>
    <w:rsid w:val="42462B6D"/>
    <w:rsid w:val="444906F3"/>
    <w:rsid w:val="44A65BEB"/>
    <w:rsid w:val="45D65FB6"/>
    <w:rsid w:val="45DE4E6B"/>
    <w:rsid w:val="471176DE"/>
    <w:rsid w:val="473332A1"/>
    <w:rsid w:val="47F911DA"/>
    <w:rsid w:val="48515DC8"/>
    <w:rsid w:val="4857066F"/>
    <w:rsid w:val="4CFD02CC"/>
    <w:rsid w:val="4F2C2DEA"/>
    <w:rsid w:val="51CD438B"/>
    <w:rsid w:val="53057EDB"/>
    <w:rsid w:val="53F87A3F"/>
    <w:rsid w:val="56BC28E6"/>
    <w:rsid w:val="59AD6BD6"/>
    <w:rsid w:val="5C9A78E6"/>
    <w:rsid w:val="5D2C4C61"/>
    <w:rsid w:val="5D852344"/>
    <w:rsid w:val="5DC9707A"/>
    <w:rsid w:val="5F230066"/>
    <w:rsid w:val="5FFE63DD"/>
    <w:rsid w:val="61FB61B5"/>
    <w:rsid w:val="643642FF"/>
    <w:rsid w:val="64C71494"/>
    <w:rsid w:val="66285F62"/>
    <w:rsid w:val="681F7D61"/>
    <w:rsid w:val="68B47F81"/>
    <w:rsid w:val="68BC630B"/>
    <w:rsid w:val="6D30394E"/>
    <w:rsid w:val="6DE50BDD"/>
    <w:rsid w:val="6FE45F11"/>
    <w:rsid w:val="70726596"/>
    <w:rsid w:val="70AE52B6"/>
    <w:rsid w:val="736C3B18"/>
    <w:rsid w:val="73830C7C"/>
    <w:rsid w:val="782D11B6"/>
    <w:rsid w:val="78826157"/>
    <w:rsid w:val="7909676D"/>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7"/>
    <w:qFormat/>
    <w:uiPriority w:val="0"/>
    <w:pPr>
      <w:keepNext/>
      <w:keepLines/>
      <w:spacing w:before="260" w:after="260" w:line="416" w:lineRule="auto"/>
      <w:outlineLvl w:val="2"/>
    </w:pPr>
    <w:rPr>
      <w:b/>
      <w:bCs/>
      <w:sz w:val="32"/>
      <w:szCs w:val="32"/>
    </w:rPr>
  </w:style>
  <w:style w:type="paragraph" w:styleId="5">
    <w:name w:val="heading 4"/>
    <w:basedOn w:val="1"/>
    <w:next w:val="1"/>
    <w:link w:val="22"/>
    <w:qFormat/>
    <w:uiPriority w:val="0"/>
    <w:pPr>
      <w:keepNext/>
      <w:keepLines/>
      <w:spacing w:before="280" w:after="290" w:line="376" w:lineRule="auto"/>
      <w:outlineLvl w:val="3"/>
    </w:pPr>
    <w:rPr>
      <w:rFonts w:ascii="Cambria" w:hAnsi="Cambria"/>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toc 5"/>
    <w:basedOn w:val="1"/>
    <w:next w:val="1"/>
    <w:autoRedefine/>
    <w:qFormat/>
    <w:uiPriority w:val="0"/>
    <w:pPr>
      <w:ind w:left="840"/>
      <w:jc w:val="left"/>
    </w:pPr>
    <w:rPr>
      <w:sz w:val="20"/>
      <w:szCs w:val="20"/>
    </w:rPr>
  </w:style>
  <w:style w:type="paragraph" w:styleId="9">
    <w:name w:val="toc 3"/>
    <w:basedOn w:val="1"/>
    <w:next w:val="1"/>
    <w:qFormat/>
    <w:uiPriority w:val="0"/>
    <w:pPr>
      <w:adjustRightInd w:val="0"/>
      <w:snapToGrid w:val="0"/>
      <w:spacing w:line="360" w:lineRule="auto"/>
      <w:ind w:firstLine="400" w:firstLineChars="400"/>
      <w:jc w:val="left"/>
    </w:pPr>
    <w:rPr>
      <w:sz w:val="24"/>
      <w:szCs w:val="20"/>
    </w:rPr>
  </w:style>
  <w:style w:type="paragraph" w:styleId="10">
    <w:name w:val="toc 8"/>
    <w:basedOn w:val="1"/>
    <w:next w:val="1"/>
    <w:autoRedefine/>
    <w:qFormat/>
    <w:uiPriority w:val="0"/>
    <w:pPr>
      <w:ind w:left="1470"/>
      <w:jc w:val="left"/>
    </w:pPr>
    <w:rPr>
      <w:sz w:val="20"/>
      <w:szCs w:val="20"/>
    </w:rPr>
  </w:style>
  <w:style w:type="paragraph" w:styleId="11">
    <w:name w:val="footer"/>
    <w:basedOn w:val="1"/>
    <w:link w:val="25"/>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pPr>
      <w:adjustRightInd w:val="0"/>
      <w:snapToGrid w:val="0"/>
      <w:spacing w:line="360" w:lineRule="auto"/>
      <w:jc w:val="left"/>
    </w:pPr>
    <w:rPr>
      <w:b/>
      <w:bCs/>
      <w:sz w:val="24"/>
      <w:szCs w:val="20"/>
    </w:rPr>
  </w:style>
  <w:style w:type="paragraph" w:styleId="14">
    <w:name w:val="toc 4"/>
    <w:basedOn w:val="1"/>
    <w:next w:val="1"/>
    <w:autoRedefine/>
    <w:qFormat/>
    <w:uiPriority w:val="0"/>
    <w:pPr>
      <w:ind w:left="630"/>
      <w:jc w:val="left"/>
    </w:pPr>
    <w:rPr>
      <w:sz w:val="20"/>
      <w:szCs w:val="20"/>
    </w:rPr>
  </w:style>
  <w:style w:type="paragraph" w:styleId="15">
    <w:name w:val="toc 6"/>
    <w:basedOn w:val="1"/>
    <w:next w:val="1"/>
    <w:autoRedefine/>
    <w:qFormat/>
    <w:uiPriority w:val="0"/>
    <w:pPr>
      <w:ind w:left="1050"/>
      <w:jc w:val="left"/>
    </w:pPr>
    <w:rPr>
      <w:sz w:val="20"/>
      <w:szCs w:val="20"/>
    </w:rPr>
  </w:style>
  <w:style w:type="paragraph" w:styleId="16">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7">
    <w:name w:val="toc 9"/>
    <w:basedOn w:val="1"/>
    <w:next w:val="1"/>
    <w:autoRedefine/>
    <w:qFormat/>
    <w:uiPriority w:val="0"/>
    <w:pPr>
      <w:ind w:left="1680"/>
      <w:jc w:val="left"/>
    </w:pPr>
    <w:rPr>
      <w:sz w:val="20"/>
      <w:szCs w:val="20"/>
    </w:rPr>
  </w:style>
  <w:style w:type="character" w:styleId="20">
    <w:name w:val="page number"/>
    <w:basedOn w:val="19"/>
    <w:qFormat/>
    <w:uiPriority w:val="0"/>
  </w:style>
  <w:style w:type="character" w:styleId="21">
    <w:name w:val="Hyperlink"/>
    <w:basedOn w:val="19"/>
    <w:qFormat/>
    <w:uiPriority w:val="0"/>
    <w:rPr>
      <w:color w:val="0000FF"/>
      <w:u w:val="single"/>
    </w:rPr>
  </w:style>
  <w:style w:type="character" w:customStyle="1" w:styleId="22">
    <w:name w:val="标题 4 Char"/>
    <w:basedOn w:val="19"/>
    <w:link w:val="5"/>
    <w:qFormat/>
    <w:uiPriority w:val="0"/>
    <w:rPr>
      <w:rFonts w:ascii="Cambria" w:hAnsi="Cambria"/>
      <w:b/>
      <w:bCs/>
      <w:kern w:val="2"/>
      <w:sz w:val="28"/>
      <w:szCs w:val="28"/>
    </w:rPr>
  </w:style>
  <w:style w:type="paragraph" w:styleId="23">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4">
    <w:name w:val="无间隔 Char"/>
    <w:link w:val="23"/>
    <w:qFormat/>
    <w:locked/>
    <w:uiPriority w:val="0"/>
    <w:rPr>
      <w:rFonts w:eastAsia="仿宋_GB2312"/>
      <w:sz w:val="30"/>
      <w:szCs w:val="22"/>
      <w:lang w:bidi="ar-SA"/>
    </w:rPr>
  </w:style>
  <w:style w:type="character" w:customStyle="1" w:styleId="25">
    <w:name w:val="页脚 Char"/>
    <w:basedOn w:val="19"/>
    <w:link w:val="11"/>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Char"/>
    <w:basedOn w:val="19"/>
    <w:link w:val="4"/>
    <w:qFormat/>
    <w:uiPriority w:val="0"/>
    <w:rPr>
      <w:b/>
      <w:bCs/>
      <w:kern w:val="2"/>
      <w:sz w:val="32"/>
      <w:szCs w:val="32"/>
    </w:rPr>
  </w:style>
  <w:style w:type="paragraph" w:customStyle="1" w:styleId="28">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39</Pages>
  <Words>10351</Words>
  <Characters>11345</Characters>
  <Lines>1</Lines>
  <Paragraphs>1</Paragraphs>
  <TotalTime>108</TotalTime>
  <ScaleCrop>false</ScaleCrop>
  <LinksUpToDate>false</LinksUpToDate>
  <CharactersWithSpaces>11757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马菲</cp:lastModifiedBy>
  <cp:lastPrinted>2021-04-16T00:45:00Z</cp:lastPrinted>
  <dcterms:modified xsi:type="dcterms:W3CDTF">2025-09-22T03:23:41Z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2052-12.1.0.22529</vt:lpwstr>
  </property>
  <property fmtid="{D5CDD505-2E9C-101B-9397-08002B2CF9AE}" pid="4" name="KSOTemplateDocerSaveRecord">
    <vt:lpwstr>eyJoZGlkIjoiMzQ2NTY4NzU3MGQ0ODBhZjcxNmM0ZjU2NWVkNTY1NzgiLCJ1c2VySWQiOiIzMTg3MjcwNTcifQ==</vt:lpwstr>
  </property>
</Properties>
</file>